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Emcure Pharmaceuticals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 diversified Indian pharma formulations company (IPO'd July 2024) with solid growth and a large-cap-scale market cap - no specific named structural inflection found; fast large-cap triage only.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Emcure Pharmaceuticals is a Pune-based branded/generic formulations company with a large domestic (India) business plus exports to the US, Europe and emerging markets, spanning gynaecology, HIV, cardiology, vaccines and other therapies. Listed on NSE/BSE (July 2024 IPO). Bristol Myers Squibb and Bain Capital have historically held stakes.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37,540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1,260 - Rs 2,048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(TTM)</w:t>
            </w:r>
          </w:p>
        </w:tc>
        <w:tc>
          <w:tcPr>
            <w:tcW w:type="dxa" w:w="5800"/>
          </w:tcPr>
          <w:p>
            <w:r>
              <w:t xml:space="preserve">~Rs 5,054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+25.3% FY25; 5-yr revenue CAGR ~13.0% vs sector median ~5.5%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Credit rating</w:t>
            </w:r>
          </w:p>
        </w:tc>
        <w:tc>
          <w:tcPr>
            <w:tcW w:type="dxa" w:w="5800"/>
          </w:tcPr>
          <w:p>
            <w:r>
              <w:t xml:space="preserve">CARE AA/Stable, A1+ on Rs 2,400 Cr facilities - reasonable debt management despite some debt increase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Emcure is a large, diversified formulations player growing faster than the sector median (25.3% FY25 revenue growth vs a sector that typically runs mid-single-digit to low-teens), with a stable credit rating despite carrying some debt. At a ~Rs 37,500 Cr market cap this sits squarely in large-cap-pharma territory alongside names like Alkem, Torrent and Lupin. No specific, named management or structural inflection (new large plant approval, major patent-cliff/exclusivity launch, transformative M&amp;A) surfaced in this fast pass - growth looks like steady, broad-based execution rather than a step-change catalyst.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fast large-cap triage, no inflection found, thesis default applies regardless of chart position.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checked - large-cap fast-triage rule (no named inflection) skips forum deep-dive per scope.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surfaced in this fast pass (stable credit ratings, no fraud/SEBI action found).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Diversified, large-scale formulations business growing revenue faster than sector median (25.3% FY25)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Stable credit ratings (CARE AA/A1+) despite carrying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Broad therapy and geography mix reduces single-product/market risk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inflection identified - growth looks like steady execution, not a re-rating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 large-cap-scale business (~Rs 37,500 Cr) - limited room for a 10x/100x return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Recently listed (2024 IPO); limited multi-year public track record to independently verify Coffee-Can-style consistency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37,540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 diversified pharma major growing above sector median, but no named management/structural inflection found - default large-cap 'neither' call, conviction Low-Medium, no forum deep-dive done per fast-triage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confirmed: Emcure Pharmaceuticals Ltd, NSE/BSE listed July 2024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rule applied: tam scored 'no' absent a specific named inflection; four_box exercise skipped per instructions for this bucket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Steady above-sector growth (25.3% FY25) and stable credit profile support Low-Medium (not higher) conviction; scale alone rules out a literal 10x/100x thesis_fit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2026-09-15T15:26:30.997Z</dcterms:created>
  <dcterms:modified xsi:type="dcterms:W3CDTF">2026-09-15T15:26:30.997Z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