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HDFC Asset Management Company Limited</w:t>
      </w:r>
    </w:p>
    <w:p>
      <w:pPr>
        <w:pBdr>
          <w:bottom w:val="single" w:color="CCCCCC" w:sz="6" w:space="8"/>
        </w:pBdr>
        <w:spacing w:after="200"/>
      </w:pPr>
      <w:r>
        <w:rPr>
          <w:i/>
          <w:iCs/>
          <w:color w:val="666666"/>
          <w:sz w:val="22"/>
          <w:szCs w:val="22"/>
        </w:rPr>
        <w:t xml:space="preserve">India's second-largest asset manager (HDFC Bank holds 52.4%), almost debt-free with ROCE ~39% and ROE ~32%, and steady mid-teens revenue growth - a high-quality large-cap compounder, but no specific named structural inflection was found to justify anything beyond a 'neither' fast read. Seeded 2026-09-13 via untrusted X triage (@investor_vineet, bullish, medium conviction).</w:t>
      </w:r>
    </w:p>
    <w:p>
      <w:pPr>
        <w:pStyle w:val="Heading1"/>
        <w:spacing w:after="120" w:before="280"/>
      </w:pPr>
      <w:r>
        <w:t xml:space="preserve">Business Overview</w:t>
      </w:r>
    </w:p>
    <w:p>
      <w:pPr>
        <w:spacing w:after="120"/>
      </w:pPr>
      <w:r>
        <w:t xml:space="preserve">HDFC AMC (NSE/BSE: HDFCAMC) manages mutual fund schemes across equity, debt and hybrid categories, and is majority-owned (52.4%) by HDFC Bank. It is one of India's largest asset managers by AUM, benefiting from India's structural shift from physical savings (gold, real estate) to financial assets (mutual funds, SIPs) and from the HDFC brand/distribution network.</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1,03,082 Cr</w:t>
            </w:r>
          </w:p>
        </w:tc>
      </w:tr>
      <w:tr>
        <w:tc>
          <w:tcPr>
            <w:tcW w:type="dxa" w:w="3200"/>
            <w:shd w:fill="F2F2F2" w:val="clear"/>
          </w:tcPr>
          <w:p>
            <w:r>
              <w:rPr>
                <w:b/>
                <w:bCs/>
              </w:rPr>
              <w:t xml:space="preserve">52-week range</w:t>
            </w:r>
          </w:p>
        </w:tc>
        <w:tc>
          <w:tcPr>
            <w:tcW w:type="dxa" w:w="5800"/>
          </w:tcPr>
          <w:p>
            <w:r>
              <w:t xml:space="preserve">~Rs 2,205.60 - Rs 2,967.25</w:t>
            </w:r>
          </w:p>
        </w:tc>
      </w:tr>
      <w:tr>
        <w:tc>
          <w:tcPr>
            <w:tcW w:type="dxa" w:w="3200"/>
            <w:shd w:fill="F2F2F2" w:val="clear"/>
          </w:tcPr>
          <w:p>
            <w:r>
              <w:rPr>
                <w:b/>
                <w:bCs/>
              </w:rPr>
              <w:t xml:space="preserve">Revenue</w:t>
            </w:r>
          </w:p>
        </w:tc>
        <w:tc>
          <w:tcPr>
            <w:tcW w:type="dxa" w:w="5800"/>
          </w:tcPr>
          <w:p>
            <w:r>
              <w:t xml:space="preserve">~Rs 1,201 Cr (Jun 2025) -&gt; ~Rs 1,363 Cr (Jun 2026), mid-teens YoY growth</w:t>
            </w:r>
          </w:p>
        </w:tc>
      </w:tr>
      <w:tr>
        <w:tc>
          <w:tcPr>
            <w:tcW w:type="dxa" w:w="3200"/>
            <w:shd w:fill="F2F2F2" w:val="clear"/>
          </w:tcPr>
          <w:p>
            <w:r>
              <w:rPr>
                <w:b/>
                <w:bCs/>
              </w:rPr>
              <w:t xml:space="preserve">ROE (3-yr avg)</w:t>
            </w:r>
          </w:p>
        </w:tc>
        <w:tc>
          <w:tcPr>
            <w:tcW w:type="dxa" w:w="5800"/>
          </w:tcPr>
          <w:p>
            <w:r>
              <w:t xml:space="preserve">~31.8%</w:t>
            </w:r>
          </w:p>
        </w:tc>
      </w:tr>
      <w:tr>
        <w:tc>
          <w:tcPr>
            <w:tcW w:type="dxa" w:w="3200"/>
            <w:shd w:fill="F2F2F2" w:val="clear"/>
          </w:tcPr>
          <w:p>
            <w:r>
              <w:rPr>
                <w:b/>
                <w:bCs/>
              </w:rPr>
              <w:t xml:space="preserve">ROCE</w:t>
            </w:r>
          </w:p>
        </w:tc>
        <w:tc>
          <w:tcPr>
            <w:tcW w:type="dxa" w:w="5800"/>
          </w:tcPr>
          <w:p>
            <w:r>
              <w:t xml:space="preserve">~39.25%</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Dividend payout</w:t>
            </w:r>
          </w:p>
        </w:tc>
        <w:tc>
          <w:tcPr>
            <w:tcW w:type="dxa" w:w="5800"/>
          </w:tcPr>
          <w:p>
            <w:r>
              <w:t xml:space="preserve">~78.6%</w:t>
            </w:r>
          </w:p>
        </w:tc>
      </w:tr>
      <w:tr>
        <w:tc>
          <w:tcPr>
            <w:tcW w:type="dxa" w:w="3200"/>
            <w:shd w:fill="F2F2F2" w:val="clear"/>
          </w:tcPr>
          <w:p>
            <w:r>
              <w:rPr>
                <w:b/>
                <w:bCs/>
              </w:rPr>
              <w:t xml:space="preserve">Promoter holding</w:t>
            </w:r>
          </w:p>
        </w:tc>
        <w:tc>
          <w:tcPr>
            <w:tcW w:type="dxa" w:w="5800"/>
          </w:tcPr>
          <w:p>
            <w:r>
              <w:t xml:space="preserve">HDFC Bank 52.4% (Mar 2026)</w:t>
            </w:r>
          </w:p>
        </w:tc>
      </w:tr>
    </w:tbl>
    <w:p>
      <w:pPr>
        <w:spacing w:after="100"/>
      </w:pPr>
    </w:p>
    <w:p>
      <w:pPr>
        <w:spacing w:after="120"/>
      </w:pPr>
      <w:r>
        <w:t xml:space="preserve">HDFC AMC is a textbook high-ROCE, capital-light financial compounder: ~39% ROCE, ~32% ROE, almost no debt, and a high dividend payout, growing revenue at a steady mid-teens clip as AUM compounds with India's financialisation-of-savings tailwind. No red flags surfaced. The fundamentals are genuinely strong, but this is a well-covered, ~Rs 1,03,000 Cr large-cap - per the fast-triage large-cap default, the bar for a 10x/100x thesis_fit is a specific NAMED management/structural inflection (e.g., a new licence, a major distribution deal, a regulatory unlock), and no such inflection was found in this pass - just continuation of an already-priced-in steady-growth story.</w:t>
      </w:r>
    </w:p>
    <w:p>
      <w:pPr>
        <w:pStyle w:val="Heading1"/>
        <w:spacing w:after="120" w:before="280"/>
      </w:pPr>
      <w:r>
        <w:t xml:space="preserve">Technical Read (Weekly / Monthly MACD + Bollinger Bands, or RSI/CCI/Williams %R proxy)</w:t>
      </w:r>
    </w:p>
    <w:p>
      <w:pPr>
        <w:spacing w:after="120"/>
      </w:pPr>
      <w:r>
        <w:t xml:space="preserve">Not pulled - large-cap fast-triage write-up, no forum deep-dive per rule.</w:t>
      </w:r>
    </w:p>
    <w:p>
      <w:pPr>
        <w:pStyle w:val="Heading1"/>
        <w:spacing w:after="120" w:before="280"/>
      </w:pPr>
      <w:r>
        <w:t xml:space="preserve">ValuePickr Community Signal</w:t>
      </w:r>
    </w:p>
    <w:p>
      <w:pPr>
        <w:spacing w:after="120"/>
      </w:pPr>
      <w:r>
        <w:t xml:space="preserve">No forum deep-dive performed - large-cap with no named inflection found, per fast-triage rule (topic_id null in state.json; not chased further given the large-cap fast-path).</w:t>
      </w:r>
    </w:p>
    <w:p>
      <w:pPr>
        <w:spacing w:after="120"/>
      </w:pPr>
      <w:r>
        <w:rPr>
          <w:b/>
          <w:bCs/>
          <w:sz w:val="20"/>
          <w:szCs w:val="20"/>
        </w:rPr>
        <w:t xml:space="preserve">High-conviction call from a top contributor: </w:t>
      </w:r>
      <w:r>
        <w:rPr>
          <w:sz w:val="20"/>
          <w:szCs w:val="20"/>
        </w:rPr>
        <w:t xml:space="preserve">Not sought this pass - large-cap fast-path.</w:t>
      </w:r>
    </w:p>
    <w:p>
      <w:pPr>
        <w:pStyle w:val="Heading1"/>
        <w:spacing w:after="120" w:before="280"/>
      </w:pPr>
      <w:r>
        <w:t xml:space="preserve">BSE Corporate Actions / Other Red Flags</w:t>
      </w:r>
    </w:p>
    <w:p>
      <w:pPr>
        <w:spacing w:after="120"/>
      </w:pPr>
      <w:r>
        <w:t xml:space="preserve">No red flags found. Clean, well-governed large-cap AMC; HDFC Bank remains majority owner (52.4%).</w:t>
      </w:r>
    </w:p>
    <w:p>
      <w:pPr>
        <w:pStyle w:val="Heading1"/>
        <w:spacing w:after="120" w:before="280"/>
      </w:pPr>
      <w:r>
        <w:t xml:space="preserve">Bull Case</w:t>
      </w:r>
    </w:p>
    <w:p>
      <w:pPr>
        <w:pStyle w:val="ListParagraph"/>
        <w:numPr>
          <w:ilvl w:val="0"/>
          <w:numId w:val="1"/>
        </w:numPr>
        <w:spacing w:after="60"/>
      </w:pPr>
      <w:r>
        <w:t xml:space="preserve">Best-in-class capital-light economics: ROCE ~39%, ROE ~32%, almost debt-free</w:t>
      </w:r>
    </w:p>
    <w:p>
      <w:pPr>
        <w:pStyle w:val="ListParagraph"/>
        <w:numPr>
          <w:ilvl w:val="0"/>
          <w:numId w:val="1"/>
        </w:numPr>
        <w:spacing w:after="60"/>
      </w:pPr>
      <w:r>
        <w:t xml:space="preserve">Structural India tailwind - financialisation of household savings into mutual funds/SIPs continues to grow the addressable AUM pool</w:t>
      </w:r>
    </w:p>
    <w:p>
      <w:pPr>
        <w:pStyle w:val="ListParagraph"/>
        <w:numPr>
          <w:ilvl w:val="0"/>
          <w:numId w:val="1"/>
        </w:numPr>
        <w:spacing w:after="60"/>
      </w:pPr>
      <w:r>
        <w:t xml:space="preserve">High dividend payout (~78.6%) signals confidence and capital discipline</w:t>
      </w:r>
    </w:p>
    <w:p>
      <w:pPr>
        <w:pStyle w:val="Heading1"/>
        <w:spacing w:after="120" w:before="280"/>
      </w:pPr>
      <w:r>
        <w:t xml:space="preserve">Bear Case / Key Risks</w:t>
      </w:r>
    </w:p>
    <w:p>
      <w:pPr>
        <w:pStyle w:val="ListParagraph"/>
        <w:numPr>
          <w:ilvl w:val="0"/>
          <w:numId w:val="1"/>
        </w:numPr>
        <w:spacing w:after="60"/>
      </w:pPr>
      <w:r>
        <w:t xml:space="preserve">No specific named structural inflection identified this pass - growth looks like continuation of an already-well-known, already-priced story, not an under-the-radar catalyst</w:t>
      </w:r>
    </w:p>
    <w:p>
      <w:pPr>
        <w:pStyle w:val="ListParagraph"/>
        <w:numPr>
          <w:ilvl w:val="0"/>
          <w:numId w:val="1"/>
        </w:numPr>
        <w:spacing w:after="60"/>
      </w:pPr>
      <w:r>
        <w:t xml:space="preserve">Large-cap (~Rs 1,03,000 Cr) - a 10x/100x return would require an implausible re-rating or AUM step-change not evidenced here</w:t>
      </w:r>
    </w:p>
    <w:p>
      <w:pPr>
        <w:pStyle w:val="ListParagraph"/>
        <w:numPr>
          <w:ilvl w:val="0"/>
          <w:numId w:val="1"/>
        </w:numPr>
        <w:spacing w:after="60"/>
      </w:pPr>
      <w:r>
        <w:t xml:space="preserve">AMC economics are sensitive to equity-market cycles and SEBI expense-ratio/regulatory changes, a standing industry-wide risk</w:t>
      </w:r>
    </w:p>
    <w:p>
      <w:pPr>
        <w:pStyle w:val="Heading1"/>
        <w:spacing w:after="120" w:before="280"/>
      </w:pPr>
      <w:r>
        <w:t xml:space="preserve">Market-Cap Tier (informational — not a gate in this project)</w:t>
      </w:r>
    </w:p>
    <w:p>
      <w:pPr>
        <w:spacing w:after="120"/>
      </w:pPr>
      <w:r>
        <w:rPr>
          <w:b/>
          <w:bCs/>
        </w:rPr>
        <w:t xml:space="preserve">Large-cap (~Rs 1,03,082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High-quality, almost debt-free large-cap AMC compounder (ROCE ~39%, ROE ~32%) with a genuine but already well-known India financialisation tailwind - no named inflection found, so thesis_fit 'neither' per the large-cap fast-triage default. Conviction Medium.</w:t>
      </w:r>
    </w:p>
    <w:p>
      <w:pPr>
        <w:pStyle w:val="ListParagraph"/>
        <w:numPr>
          <w:ilvl w:val="0"/>
          <w:numId w:val="1"/>
        </w:numPr>
        <w:spacing w:after="60"/>
      </w:pPr>
      <w:r>
        <w:t xml:space="preserve">Large-cap fast-triage rule applied: default tam 'no' since no specific NAMED management/structural inflection was found in this pass - just steady continuation of an already-priced-in growth story</w:t>
      </w:r>
    </w:p>
    <w:p>
      <w:pPr>
        <w:pStyle w:val="ListParagraph"/>
        <w:numPr>
          <w:ilvl w:val="0"/>
          <w:numId w:val="1"/>
        </w:numPr>
        <w:spacing w:after="60"/>
      </w:pPr>
      <w:r>
        <w:t xml:space="preserve">thesis_fit 'neither', conviction capped at Medium per the large-cap rule (fundamentals are genuinely excellent, which lifts it off Low, but the rule bars a higher rating without a named inflection)</w:t>
      </w:r>
    </w:p>
    <w:p>
      <w:pPr>
        <w:pStyle w:val="ListParagraph"/>
        <w:numPr>
          <w:ilvl w:val="0"/>
          <w:numId w:val="1"/>
        </w:numPr>
        <w:spacing w:after="60"/>
      </w:pPr>
      <w:r>
        <w:t xml:space="preserve">No forum deep-dive performed per the large-cap-no-inflection fast-path; topic_id remains null in state.json</w:t>
      </w:r>
    </w:p>
    <w:p>
      <w:pPr>
        <w:pStyle w:val="ListParagraph"/>
        <w:numPr>
          <w:ilvl w:val="0"/>
          <w:numId w:val="1"/>
        </w:numPr>
        <w:spacing w:after="60"/>
      </w:pPr>
      <w:r>
        <w:t xml:space="preserve">No red flags found - this is a quality-but-fully-known story, not a red-flag exclusion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2026-09-15T15:26:30.572Z</dcterms:created>
  <dcterms:modified xsi:type="dcterms:W3CDTF">2026-09-15T15:26:30.573Z</dcterms:modified>
</cp:coreProperties>
</file>

<file path=docProps/custom.xml><?xml version="1.0" encoding="utf-8"?>
<Properties xmlns="http://schemas.openxmlformats.org/officeDocument/2006/custom-properties" xmlns:vt="http://schemas.openxmlformats.org/officeDocument/2006/docPropsVTypes"/>
</file>