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International Gemmological Institute (India) Ltd (IGI)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Global diamond/gemstone/jewellery certification leader (including lab-grown diamonds) with strong margins and growth, but at a ~Rs 15,000 Cr market cap this reads as large-cap with no specific named structural inflection found this pass.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IGI is a global leader in certifying diamonds (natural and lab-grown), gemstones and jewellery. Q1 FY27 revenue grew ~23% YoY with EBITDA up ~29% to Rs 2,238 mn at a ~60.4% margin. Seeded via untrusted X triage (@PRATIKBULANI555, 2026-09-13, high conviction per the X source).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15,022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(3-yr avg)</w:t>
            </w:r>
          </w:p>
        </w:tc>
        <w:tc>
          <w:tcPr>
            <w:tcW w:type="dxa" w:w="5800"/>
          </w:tcPr>
          <w:p>
            <w:r>
              <w:t xml:space="preserve">~31.8%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Q1 FY27 +23% YoY; 5-yr profit CAGR ~67.8%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Margins</w:t>
            </w:r>
          </w:p>
        </w:tc>
        <w:tc>
          <w:tcPr>
            <w:tcW w:type="dxa" w:w="5800"/>
          </w:tcPr>
          <w:p>
            <w:r>
              <w:t xml:space="preserve">EBITDA margin ~60.4% (Q1 FY27)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287 - Rs 392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Very high-quality metrics (near-60% EBITDA margins, ~32% ROE, debt-free, strong growth) reflecting IGI's asset-light, high-barrier certification-lab moat and the structural rise of lab-grown diamonds as a certification category. However at ~Rs 15,000 Cr this sits in large-cap territory for this project's convention, and this pass did not surface a specific NAMED management/structural inflection (e.g., a new regulatory certification mandate, a named capital-allocation shift) beyond the existing 'lab-grown diamond growth' narrative, which is a well-known structural theme already reflected in the business's strong reported numbers - the fast-lane default therefore applies.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Trading mid-range of its 52-week band (~Rs 287-392); no technical read pulled beyond that.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deep-dive performed per large-cap-no-inflection fast-lane rule.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sought this pass (large-cap fast lane).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found in this pass (screener/web sources only).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Exceptional margins (~60% EBITDA) and ROE (~32%) reflecting a genuine certification-lab moat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Structural lab-grown-diamond volume growth benefits IGI as the leading certifier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Debt-free balance sheet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specific named structural/management inflection confirmed this pass beyond the existing lab-grown-diamond growth narrative - large-cap fast-lane default applies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Recently listed - limited multi-year public track record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Certification volumes/pricing exposed to diamond-jewellery demand cycles and any shift in lab-grown diamond retail pricing trends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15,000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High-margin, high-ROE certification-lab leader in the lab-grown-diamond growth wave; no specific named inflection found this pass at a ~Rs 15,000 Cr market cap - thesis_fit 'neither', conviction Low-Medium.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(~Rs 15,000 Cr) triggers the default tam:no fast-lane rule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Lab-grown-diamond growth is a real structural theme but reads as an existing well-known narrative rather than a newly identified named inflection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flags found; exceptional margins/ROE and debt-free balance sheet support Low-Medium (not just Low) conviction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forum deep-dive performed per fast-lane rule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2026-09-15T15:09:43.464Z</dcterms:created>
  <dcterms:modified xsi:type="dcterms:W3CDTF">2026-09-15T15:09:43.464Z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