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Jio Financial Services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Reliance-backed diversified financial-services platform (NBFC, asset management, insurance broking) growing revenue and AUM fast, but ROE remains very low (~1.2%) with a recent profit decline despite topline surge - no named inflection to lift it past a fast large-cap pass.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Jio Financial Services Ltd (demerged from Reliance Industries in 2023) is building out a diversified financial-services platform spanning NBFC lending, asset management (Jio BlackRock JV), insurance broking and payments. Large-cap; per this project's rule, large-caps default to tam:no absent a specific named inflection. Seeded via X (untrusted triage, @SanaSecurities, high conviction bearish view - i.e. the X source itself is skeptical).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1,51,000-1,61,000 Cr (sources vary; down ~26% over 1 year per one source)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223.3 - Rs 321.6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 avg)</w:t>
            </w:r>
          </w:p>
        </w:tc>
        <w:tc>
          <w:tcPr>
            <w:tcW w:type="dxa" w:w="5800"/>
          </w:tcPr>
          <w:p>
            <w:r>
              <w:t xml:space="preserve">~1.23% - very low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~43.5%/yr average; Q4 FY26 revenue +106.5% YoY to ~Rs 1,018.5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Q4 FY26 net profit</w:t>
            </w:r>
          </w:p>
        </w:tc>
        <w:tc>
          <w:tcPr>
            <w:tcW w:type="dxa" w:w="5800"/>
          </w:tcPr>
          <w:p>
            <w:r>
              <w:t xml:space="preserve">~Rs 272.2 Cr, down ~13.9% YoY despite the revenue surge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NBFC AUM (Q4 FY26)</w:t>
            </w:r>
          </w:p>
        </w:tc>
        <w:tc>
          <w:tcPr>
            <w:tcW w:type="dxa" w:w="5800"/>
          </w:tcPr>
          <w:p>
            <w:r>
              <w:t xml:space="preserve">~Rs 25,711 Cr, up ~156% YoY; 5-yr AUM CAGR ~39.5% vs industry median ~23.2%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JFS is scaling its lending book and platform fast (AUM +156% YoY, revenue +106.5% YoY in Q4 FY26), but this is early-stage platform-building - overall ROE remains very low (~1.2% over 3 years) and the latest quarter's net profit actually fell ~14% YoY even as revenue surged, consistent with a company still investing ahead of profitability. The market cap has also been volatile/declining over the past year per one source. This is a well-known, already widely-tracked large-cap growth story rather than a hidden inflection.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in this fast large-cap pass per project rule (no forum deep-dive / detailed technicals for large-cap-no-inflection names).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check performed - large-cap with no named inflection, fast pass only per project rule; topic_id remains null.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X seed only: @SanaSecurities (untrusted X triage), bearish, high conviction - the seed source itself is skeptical of the name.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SEBI/fraud/auditor/promoter-pledge issues found. No going-concern flags.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fast AUM and revenue growth (AUM +156% YoY, revenue +106.5% YoY in Q4 FY26) as the lending/platform business scales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Backed by Reliance group distribution and balance sheet, plus a BlackRock asset-management JV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growth verticals (NBFC lending, asset management, insurance broking, payments) still in build-out phase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remains very low (~1.2% over 3 years) - profitability has not caught up with balance-sheet/AUM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net profit fell ~14% YoY despite the revenue surge - rising costs/provisions are outpacing topline growth for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management or structural inflection found (this is organic platform build-out, already well covered by the market)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has been volatile and reportedly down over the trailing year per one source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seed source itself (SanaSecurities) is bearish, high conviction - i.e. this was flagged as a bearish call, not a bullish one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diversified NBFC/financial-services platform (~Rs 1.5-1.6 lakh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Fast-scaling but not-yet-profitable Reliance-backed financial-services platform - no named inflection, and the original seed itself was a bearish call.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rule applied: tam defaulted to 'no' since no specific named management/structural inflection was found in this fast pass - this is organic, already-telegraphed platform build-out.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 given very low ROE (~1.2%) and a YoY profit decline in the latest quarter despite revenue growth; no forum deep-dive performed.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untrusted X seed (SanaSecurities) with a bearish, high-conviction view - consistent with the Low conviction assigned here.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2026-09-13T11:06:05.919Z</dcterms:created>
  <dcterms:modified xsi:type="dcterms:W3CDTF">2026-09-13T11:06:05.919Z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