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Jyoti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pumps/hydraulics engineering company with a NEGATIVE book value and promoters having pledged ~97.4% of their holding - a going-concern-adjacent distress profile, AVOID.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Negative book value per share (~Rs -9.11) functioning as a negative-net-worth signal, ~97.4% of promoter holding pledged, contingent liabilities of ~Rs 166 Cr, and high debtor days (~220) - a going-concern-adjacent distress profile.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Jyoti Ltd (BSE: 504076) is an engineering company in the power and water sectors, offering hydraulic and electrical products and designing/manufacturing pumps and EPC pumping systems. Distinct from the much larger, separately-listed Jyoti CNC Automation Ltd. Seeded via an untrusted X tip (@rajuidesai, bearish, high conviction, 2026-09-13) - strongly corroborated by the fundamentals found.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138 Cr (price ~Rs 59.6)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48.5 - 103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~8.21x; Book value ~Rs -9.11 - NEGATIVE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Promoter holding low at ~24.2%; ~97.4% of that holding pledged - extreme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Other</w:t>
            </w:r>
          </w:p>
        </w:tc>
        <w:tc>
          <w:tcPr>
            <w:tcW w:type="dxa" w:w="5800"/>
          </w:tcPr>
          <w:p>
            <w:r>
              <w:t xml:space="preserve">Contingent liabilities ~Rs 166 Cr; high debtors (~220 days)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Fast disposition - AVOID. Book value per share is reported NEGATIVE (~Rs -9.11), which functionally signals negative net worth / accumulated losses exceeding paid-up capital and reserves - the same going-concern-adjacent category as the AVOID criteria (negative net worth). This sits alongside an extreme promoter pledge (~97.4% of an already-low 24.2% holding), meaningful contingent liabilities (~Rs 166 Cr) and very high debtor days (~220). A low headline P/E (~8.2x) and positive ROCE (~12.8%) are not sufficient to offset a negative book value and near-total promoter pledge - these are classic markers of a financially distressed small-cap.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red-flag AVOID short-circuits Step 4/6/7.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red-flag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AVOID: negative book value (~Rs -9.11/share), ~97.4% of promoter holding pledged, contingent liabilities ~Rs 166 Cr, and high debtor days (~220) together indicate financial distress bordering on a going-concern-adjacent profile.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Positive ROCE (~12.8%) and a low headline P/E (~8.2x) on reported earnings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book value (~Rs -9.11/share) - functionally a negative net worth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~97.4% of promoter holding pledged - an extreme distress signal, on an already-low ~24.2% promoter stake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Contingent liabilities of ~Rs 166 Cr against a ~Rs 138 Cr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debtors (~220 days) pointing to working-capital 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source's bearish, high-conviction call is strongly corroborated by the fundamentals found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138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Negative book value plus a near-total (~97.4%) promoter pledge - AVOID; the bearish X tip is strongly corroborated by the fundamentals.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negative book value functions as a negative-net-worth signal, compounded by an extreme (~97.4%) promoter pledge and ~Rs 166 Cr contingent liabilities.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4/6/7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 with high confidence: state.json 'Jyoti Ltd' matches BSE 504076 (Jyoti Ltd, pumps/hydraulics), distinct from the much larger Jyoti CNC Automation Ltd.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2026-09-15T15:17:13.008Z</dcterms:created>
  <dcterms:modified xsi:type="dcterms:W3CDTF">2026-09-15T15:17:13.009Z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