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Kotak Mahindra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 private bank with a specific, dated structural inflection - RBI's July 2026 lifting of the 26-month digital-onboarding/credit-card ban - but a pending CEO transition (Dec 2026) and mega-cap size keep this at 'neither' for this project's extreme-return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Kotak Mahindra Bank is a major Indian private-sector bank. RBI had banned digital onboarding of new customers and new credit-card issuance in April 2024; that ban was formally lifted on 5 July 2026, restoring the bank's primary digital customer-acquisition engine after ~26 months - a specific, named regulatory/structural inflection. The bank also recently reported ~15.1% loan growth and is pursuing a Deutsche Bank India retail-unit acquisition, signaling a pivot back to aggressive scale. Offsetting this, CEO Ashok Vaswani announced he will not seek reappointment when his term ends 31 Dec 2026, introducing management-continuity uncertainty. Seeded 2026-09-13 via untrusted X triage (@saditya10p, medium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4,16,800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345.50 - Rs 453.20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~13.7% (3-yr average, per screener); one source cites ~11.4%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~9.57%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~Rs 56,205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Loan growth</w:t>
            </w:r>
          </w:p>
        </w:tc>
        <w:tc>
          <w:tcPr>
            <w:tcW w:type="dxa" w:w="5800"/>
          </w:tcPr>
          <w:p>
            <w:r>
              <w:t xml:space="preserve">~15.1% (recent quarter)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Contingent liabilities</w:t>
            </w:r>
          </w:p>
        </w:tc>
        <w:tc>
          <w:tcPr>
            <w:tcW w:type="dxa" w:w="5800"/>
          </w:tcPr>
          <w:p>
            <w:r>
              <w:t xml:space="preserve">~Rs 10,54,268 Cr (standard for a large bank's off-balance-sheet book, not a red flag by itself)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RBI ban lift (July 2026) is a genuine, dated, named structural inflection - it directly restores the bank's ability to onboard customers digitally and issue new credit cards, which had been frozen for over two years. Loan growth (~15.1%) already shows reacceleration. The Deutsche Bank India retail-unit acquisition talk points to a scale-up push. However, ROE (~13.7%) is subdued for a top-tier private bank (historically Kotak ran mid-to-high teens ROE), and the announced CEO exit (Dec 2026) adds a 'continuity premium' risk right as the bank re-accelerates - a genuine offsetting uncertainty, not just noise.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in the upper-middle of its 52-week range (~Rs 345-453) - not decision-relevant to the large-cap 'neither'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large-cap-with-inflection still can't support this project's 10x/100x thesis, so a full ValuePickr thread read was not pursued per fast-triage scope. No dedicated thread search attempted this pass; topic_id remains null.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 beyond the originating X mention.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flags found. The RBI restriction itself (2024-2026) was a supervisory/compliance action, now resolved (lifted July 2026) - historical, not current.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Named, dated structural inflection: RBI lifted the 26-month digital-onboarding/credit-card ban on 5 July 2026, restoring the core growth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 growth already reaccelerating (~15.1% recent quarter)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Potential Deutsche Bank India retail-unit acquisition signals an aggressive scale-up pivot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well-capitalised private bank with a strong liability franchise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Ashok Vaswani's announced exit (term ends 31 Dec 2026, not seeking reappointment) creates management-continuity uncertainty right at the re-acceleration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(~13.7%) is subdued relative to Kotak's own historical standards and top private-bank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4,16,800 Cr) - no plausible path to a 10x-in-2-3-years or 100x-in-10-years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Untrusted, uncorroborated X source (@saditya10p, medium conviction only)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Large/mega-cap (~Rs 4,16,800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Named July-2026 RBI-ban-lift structural inflection (not generic) justifies tam=yes for a large-cap; strong private-bank franchise supports moat; valuation weak given subdued ROE (~13.7%) and CEO-transition uncertainty. Mega-cap size means the score is informational only - thesis_fit stays 'neither' regardless.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RBI's July 2026 lifting of the digital-onboarding/credit-card ban is a genuine named inflection for Kotak Bank, but mega-cap size and a pending CEO transition keep this at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rule: found a specific NAMED regulatory/structural inflection (RBI ban lifted July 2026, ending a 26-month restriction) rather than a generic 'good business' claim, so tam scored 'yes' rather than the large-cap default 'no'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with the inflection, market cap (~Rs 4,16,800 Cr) is far too large for a 10x-in-2-3-years or 100x-in-10-years outcome to be mathematically plausible - thesis_fit 'neither' regardless of four-box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 (not higher): the inflection is real and loan growth is already responding, but the announced CEO exit (Dec 2026) is a genuine, concurrent offsetting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 fast-triage scope for large-caps; topic_id not resolved (null)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2026-09-13T06:26:04.900Z</dcterms:created>
  <dcterms:modified xsi:type="dcterms:W3CDTF">2026-09-13T06:26:04.900Z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