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Lumax Industries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Auto-lighting (headlamp/tail-lamp) Tier-1 supplier via a long-standing JV with Stanley Electric (Japan), riding rising LED content-per-vehicle - a decent but already fairly-valued mid-cap compounder, not a 10x/100x setup.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Lumax Industries manufactures automotive lighting systems (headlamps, tail-lamps, LED modules) for Indian OEMs (Maruti, Tata, M&amp;M, Honda, Yamaha among others) under a technology/JV relationship with Stanley Electric Co. (Japan). Growth is driven by rising LED penetration and content-per-vehicle premiumisation across 2W/PV segments rather than a new structural inflection. Seeded via untrusted X triage (@ParthaAwe, bullish/medium conviction, 2026-09-13).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5,700-5,750 Cr (price ~Rs 4,000s-5,000s range)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4,055 - Rs 6,970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</w:t>
            </w:r>
          </w:p>
        </w:tc>
        <w:tc>
          <w:tcPr>
            <w:tcW w:type="dxa" w:w="5800"/>
          </w:tcPr>
          <w:p>
            <w:r>
              <w:t xml:space="preserve">~Rs 4,485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~24% CAGR (vs auto-ancillary industry median ~14%)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Profit</w:t>
            </w:r>
          </w:p>
        </w:tc>
        <w:tc>
          <w:tcPr>
            <w:tcW w:type="dxa" w:w="5800"/>
          </w:tcPr>
          <w:p>
            <w:r>
              <w:t xml:space="preserve">~Rs 187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P/E ~32.6x trailing - full for the growth rate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holding</w:t>
            </w:r>
          </w:p>
        </w:tc>
        <w:tc>
          <w:tcPr>
            <w:tcW w:type="dxa" w:w="5800"/>
          </w:tcPr>
          <w:p>
            <w:r>
              <w:t xml:space="preserve">~75%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Lumax has genuinely outgrown the auto-ancillary industry median on revenue CAGR (~24% vs ~14%), largely on LED/premium-lighting mix-shift and content-per-vehicle gains via its Stanley Electric JV. But the stock has already re-rated hard (52-week range Rs 4,055-6,970) to a full ~32.6x trailing P/E, and detailed ROCE/debt figures were not cleanly available this pass - flagged as a gap. No named management/structural inflection (new CEO, capital-allocation shift, regulatory catalyst) was found; this reads as steady share-gain in a maturing lighting-premiumisation cycle, not a step-change.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Stock is well off its 52-week high (~Rs 6,970) at recent levels - not independently re-pulled this pass; not the basis for the call.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Forum thread resolved (topic_id 2970, 'Lumax Industries - brightening prospects', category 11) but not deep-read this pass per budget - fast web/filings-based write-up only.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Not assessed this pass (no deep forum read).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flags found this pass (no going-concern, SEBI action, promoter-holding collapse, or auditor resignation surfaced).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 LED/premium-lighting content-per-vehicle tailwind, outgrowing auto-ancillary industry median revenue CAGR (~24% vs ~14%)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Entrenched Tier-1 relationships with major OEMs (Maruti, Tata, M&amp;M, Honda, Yamaha) via the Stanley Electric JV - real switching-cost moat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High promoter holding (~75%)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Valuation already full at ~32.6x trailing P/E after a strong re-rating - limited margin of safety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named structural/management inflection found - this is incremental share-gain in a maturing premiumisation cycle, not a new catalyst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Auto-ancillary business remains cyclical and OEM-order dependent; detailed ROCE/debt figures not independently confirmed this pass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Small/Mid-cap (~Rs 5,700-5,750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weak · moat: yes · valuation: weak  (score 3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LED/premium-lighting content-per-vehicle tailwind and Stanley Electric JV support tailwind/moat; TAM is a maturing penetration story rather than a fresh one; valuation is full at ~32.6x trailing P/E.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Solid LED-lighting content-per-vehicle beneficiary with strong revenue growth, but valuation is already full (~32.6x P/E) and no named structural inflection was found - thesis_fit 'neither', conviction Medium.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= 3.0 (tailwind yes - LED/premium content-per-vehicle; tam weak - mature lighting-penetration story; moat yes - Stanley Electric JV + entrenched OEM relationships; valuation weak - ~32.6x trailing P/E). Score permits a 10x/100x label but the growth math (mid-20s% revenue CAGR at an already-rerated valuation) does not genuinely support a literal 10x-in-2-3-years or 100x-in-10-years case - thesis_fit kept at 'neither' (analyst_override).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named management/structural inflection identified - fast web-only write-up per the fast-triage rule, no forum deep-dive.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 found.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2026-09-15T15:10:57.758Z</dcterms:created>
  <dcterms:modified xsi:type="dcterms:W3CDTF">2026-09-15T15:10:57.759Z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