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Mahanagar Gas Ltd (MGL)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Mumbai-region city-gas-distribution utility with above-industry revenue growth and almost no debt, but no specific named structural inflection found - large-cap fast-track disposition, 'neither'.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MGL is the dominant CNG/PNG city-gas distributor for Mumbai and adjoining areas, operating under long-term PNGRB authorisation. It is jointly promoted by GAIL and BPCL (~32.5% combined promoter holding). Revenue and volumes have grown ahead of the CGD industry median, funded almost entirely without debt. Seeded via X (@SanaSecurities, untrusted triage, 2026-09-13).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10,710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P/E</w:t>
            </w:r>
          </w:p>
        </w:tc>
        <w:tc>
          <w:tcPr>
            <w:tcW w:type="dxa" w:w="5800"/>
          </w:tcPr>
          <w:p>
            <w:r>
              <w:t xml:space="preserve">~15.0x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 / ROCE</w:t>
            </w:r>
          </w:p>
        </w:tc>
        <w:tc>
          <w:tcPr>
            <w:tcW w:type="dxa" w:w="5800"/>
          </w:tcPr>
          <w:p>
            <w:r>
              <w:t xml:space="preserve">ROE ~12.3%, ROCE ~17.1%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/ profit</w:t>
            </w:r>
          </w:p>
        </w:tc>
        <w:tc>
          <w:tcPr>
            <w:tcW w:type="dxa" w:w="5800"/>
          </w:tcPr>
          <w:p>
            <w:r>
              <w:t xml:space="preserve">Revenue ~Rs 8,531 Cr, PAT ~Rs 721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CAGR ~30.8% vs industry median ~15.7%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Almost debt-free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902.0 - Rs 1,377.1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 / dividend yield</w:t>
            </w:r>
          </w:p>
        </w:tc>
        <w:tc>
          <w:tcPr>
            <w:tcW w:type="dxa" w:w="5800"/>
          </w:tcPr>
          <w:p>
            <w:r>
              <w:t xml:space="preserve">~32.5% / ~2.77%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MGL's ROCE (~17%) and revenue CAGR (~31%, well above the CGD industry median of ~16%) are genuinely strong for a regulated utility, and the balance sheet is almost debt-free. That said, no specific named management or structural inflection (new licence area ramp, tariff reset, capacity step-change) was identified in this fast pass - the growth reads as organic volume/tariff progression in an already-penetrated core market, not an acceleration catalyst.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roughly mid-range of its 52-week band (Rs 902-1,377); not pulled further - fast large-cap triage, disposition turns on the large-cap-no-inflection default.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 forum check performed - large-cap with no named inflection found, fast-track disposition per triage rules (Step 7 skipped).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None sought this pass.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 red flags surfaced in this fast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Mumbai-region CGD franchise with regulatory moat and GAIL/BPCL promoter backing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Above-industry revenue CAGR (~31% vs ~16% industry median) and strong ROCE (~17%)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Almost debt-free balance sheet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specific named management/structural inflection found in this pass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Adjacent-geography CGD competition (e.g. Adani Total Gas) could pressure future licence-area economics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Tariff/margin outcomes ultimately gated by PNGRB regulation, capping upside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Large/mid-cap border (~Rs 10,710 Cr) - triaged under the large-cap default per assignment instructions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spacing w:after="120"/>
      </w:pPr>
      <w:r>
        <w:rPr>
          <w:color w:val="666666"/>
          <w:sz w:val="20"/>
          <w:szCs w:val="20"/>
        </w:rPr>
        <w:t xml:space="preserve">4-box gate — tailwind: weak · TAM: no · moat: yes · valuation: weak  (score 2.5 / 4)</w:t>
      </w:r>
    </w:p>
    <w:p>
      <w:pPr>
        <w:spacing w:after="120"/>
      </w:pPr>
      <w:r>
        <w:rPr>
          <w:i/>
          <w:iCs/>
          <w:color w:val="666666"/>
          <w:sz w:val="20"/>
          <w:szCs w:val="20"/>
        </w:rPr>
        <w:t xml:space="preserve">Regulated CGD moat (yes) with above-industry growth as a modest tailwind (weak, tempered by long-term EV substitution risk and adjacent-geography competition); tam defaulted to 'no' per the large-cap-no-named-inflection rule; valuation reasonable but not clearly cheap (weak, ~15x P/E).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Strong CGD fundamentals (ROCE ~17%, revenue CAGR ~31% vs industry ~16%, almost debt-free) but no named structural inflection - large-cap default applies. thesis_fit 'neither', conviction Low-Medium.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Triaged under the large-cap default per assignment instructions: tam=no absent a specific named management/structural inflection; none 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four_box score (2.5) does not clear the 3.0 label threshold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fundamentals are genuinely above-average for the sector but read as a compounder, not a re-rating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Fast triage only - no forum deep-dive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2026-09-16T02:36:19.480Z</dcterms:created>
  <dcterms:modified xsi:type="dcterms:W3CDTF">2026-09-16T02:36:19.481Z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