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Nisus Finance Services Co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transaction-advisory, fund-management and SME-credit business riding India's private-credit/AIF boom - strong ROE/ROCE and near-zero debt, but recent 118% YoY revenue growth is largely acquisition-driven, tempering the compounding-math case.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Nisus Finance Services (NSE: NISUS) specialises in transaction advisory services, fund management (alternative investment funds / private credit) and SME credit services, operating as a small-cap financial-services platform. Seeded 2026-09-13 via untrusted X triage (@ChintanParikh10), bullish, medium conviction.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902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142.65 - Rs 435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~20.05%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~25.57%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~27.99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~0.06 - near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+118% YoY - 'largely attributed to strategic acquisitions'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genuinely attractive quality profile on the surface: high ROE (~20%) and ROCE (~25.6%), near-zero leverage (D/E ~0.06), and headline revenue growth of 118% YoY. The important caveat, from the same source, is that the growth is 'largely attributed to strategic acquisitions' rather than pure organic scaling - which matters for a compounding thesis, since acquisition-driven growth carries integration risk and is less mechanically repeatable than organic AUM/fee growth. The business itself (transaction advisory + AIF/private-credit fund management + SME credit) sits inside a real, large India-specific tailwind: the rapid growth of the domestic alternative-investment-fund and private-credit industry and the well-documented SME credit gap.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Wide 52-week range (~Rs 142.65 to Rs 435, a ~3x band) - reflects small-cap/thin-float volatility more than a clean trend read. No weekly-EMA analysis performed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found. One search.json query (post-heavy 'Companies With First ever concalls OR Investor Presentations' megathread, topic_id 111868) surfaced a single incidental mention (niveshark, post #94, referencing Nisus Finance's first concall, dated Jan 2025) - not a dedicated company thread, so no topic_id/topic_slug is being reported for state.json. No deep post-by-post read performed.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Untrusted X lead only (@ChintanParikh10), bullish, medium conviction, 2026-09-13, plus one incidental non-dedicated forum mention (see sentiment_summary). Neither counts as a trusted_signal.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None found this pass. No SEBI/fraud, pledge, or auditor-resignation signals surfaced.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ROE (~20%) and ROCE (~25.6%) with near-zero leverage (D/E ~0.06) - a genuinely clean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Operates in a real, large India-specific tailwind: the fast-growing AIF/private-credit and SME-credit-gap industries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Asset-light, scalable fund-management/advisory model in principle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Headline 118% YoY revenue growth is 'largely attributed to strategic acquisitions', not organic scaling - integration risk and less repeatable than fee/AUM-driven organic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People-business/key-man risk typical of transaction-advisory and fund-management franchises - limited structural moat beyond track record and relationships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P/E ~28x is not obviously cheap once the acquisition-driven growth caveat is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dedicated ValuePickr thread found to corroborate community due diligence - only an incidental mention in an unrelated megathread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902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 AIF/private-credit sector tailwind and an asset-light, scalable fund-management model support tailwind/tam; moat is relationship/track-record based rather than structural; valuation (P/E ~28x) is not clearly cheap given growth is largely acquisition-driven rather than organic.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Clean balance sheet, strong ROE/ROCE and a real AIF/private-credit tailwind - four_box score of 3.0 permits a 10x-style label, but acquisition-driven (not organic) growth and people-business key-man risk argue for caution without deeper diligence. thesis_fit 'neither' (analyst override),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genuine, large India-specific AIF/private-credit and SME-credit-gap tailwind; tam yes - asset-light fund-management model can scale AUM well beyond current size; moat weak - relationship/track-record based, not structural; valuation weak - P/E ~28x, not clearly cheap). Score&gt;=3.0 permits but does not require a 10x-in-2-3-years label.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Exercising the override: the 118% YoY revenue growth explicitly cited as 'largely' acquisition-driven (not organic) is a material caveat on the growth math a 10x/100x label would lean on, and no dedicated forum thread was found to corroborate the thesis with independent community diligence - thesis_fit set to 'neither' pending a fuller pass (analyst_override)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dedicated ValuePickr thread resolved (search.json returned only an incidental single-post mention in an unrelated megathread, topic_id 111868) - not logged as a candidate topic_id for this stock since it isn't a company-specific thread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2026-09-13T05:36:40.800Z</dcterms:created>
  <dcterms:modified xsi:type="dcterms:W3CDTF">2026-09-13T05:36:40.800Z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