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Omaxe Limited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Delhi-NCR-rooted real estate/construction developer (residential, commercial, retail across 31 cities) now in deep financial distress - negative shareholder equity, a Rs 166.61 Cr consolidated net loss in Q3 FY26 alone, a five-year revenue CAGR of -12.94%, and Rs 2,723 Cr of contingent liabilities. Seeded 2026-09-13 via untrusted X triage (@RupakRoyC, bullish, medium conviction).</w:t>
      </w:r>
    </w:p>
    <w:p>
      <w:pPr>
        <w:shd w:fill="FFF0F0" w:val="clear"/>
        <w:spacing w:after="200"/>
      </w:pPr>
      <w:r>
        <w:rPr>
          <w:b/>
          <w:bCs/>
          <w:color w:val="A32020"/>
          <w:sz w:val="22"/>
          <w:szCs w:val="22"/>
        </w:rPr>
        <w:t xml:space="preserve">RED FLAG TIER: AVOID — </w:t>
      </w:r>
      <w:r>
        <w:rPr>
          <w:sz w:val="20"/>
          <w:szCs w:val="20"/>
        </w:rPr>
        <w:t xml:space="preserve">Negative shareholder equity (going-concern-risk profile) combined with a large ongoing quarterly loss (Rs 166.61 Cr, Q3 FY26) and a structurally shrinking topline (5-yr revenue CAGR -12.94%). ~15% promoter pledge and Rs 2,723 Cr contingent liabilities add further risk.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Omaxe Ltd (NSE/BSE: OMAXE) develops residential, commercial and retail real estate projects across 31 cities in 8 Indian states, historically strongest in Delhi-NCR (Faridabad, New Chandigarh) with a mix of townships, malls and hospitality assets. The company has been in a multi-year execution and balance-sheet crisis: persistent operating losses, stalled/delayed projects, and reliance on related-party/AIF NCD funding (e.g. a Rs 19 Cr NCD issue by a subsidiary to an AIF) to stay afloat.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2,268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62.85 - Rs 108.70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(FY25)</w:t>
            </w:r>
          </w:p>
        </w:tc>
        <w:tc>
          <w:tcPr>
            <w:tcW w:type="dxa" w:w="5800"/>
          </w:tcPr>
          <w:p>
            <w:r>
              <w:t xml:space="preserve">~Rs 1,377 Cr (&gt;Rs 1,000 Cr per most recent full 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Net profit</w:t>
            </w:r>
          </w:p>
        </w:tc>
        <w:tc>
          <w:tcPr>
            <w:tcW w:type="dxa" w:w="5800"/>
          </w:tcPr>
          <w:p>
            <w:r>
              <w:t xml:space="preserve">~-Rs 510 Cr (unprofitable); Q3 FY26 alone: consolidated net loss Rs 166.61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 (5-yr CAGR)</w:t>
            </w:r>
          </w:p>
        </w:tc>
        <w:tc>
          <w:tcPr>
            <w:tcW w:type="dxa" w:w="5800"/>
          </w:tcPr>
          <w:p>
            <w:r>
              <w:t xml:space="preserve">~-12.94%, vs industry median ~0% - losing share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Contingent liabilities</w:t>
            </w:r>
          </w:p>
        </w:tc>
        <w:tc>
          <w:tcPr>
            <w:tcW w:type="dxa" w:w="5800"/>
          </w:tcPr>
          <w:p>
            <w:r>
              <w:t xml:space="preserve">~Rs 2,723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 / pledge</w:t>
            </w:r>
          </w:p>
        </w:tc>
        <w:tc>
          <w:tcPr>
            <w:tcW w:type="dxa" w:w="5800"/>
          </w:tcPr>
          <w:p>
            <w:r>
              <w:t xml:space="preserve">74.14% held; ~15.02% of promoter stake pledged (one promoter member, Sushma Goel, disclosed nil fresh encumbrance in FY26)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Net worth</w:t>
            </w:r>
          </w:p>
        </w:tc>
        <w:tc>
          <w:tcPr>
            <w:tcW w:type="dxa" w:w="5800"/>
          </w:tcPr>
          <w:p>
            <w:r>
              <w:t xml:space="preserve">Negative shareholder equity per multiple analyst summaries (Q3 FY26)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Omaxe combines negative shareholder equity with ongoing large quarterly losses (Rs 166.61 Cr in Q3 FY26 alone) and a five-year revenue CAGR of -12.94% - a business that is shrinking and burning capital simultaneously, not merely cyclically weak. Rs 2,723 Cr of contingent liabilities sit alongside the negative net worth, and ~15% of promoter holding remains pledged even after one promoter family member's FY26 no-fresh-pledge disclosure. This is a going-concern-risk profile, not a turnaround-in-progress story on the evidence found.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 red-flag disposition, no TA required per fast-triage rule.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Step-4 forum read performed - red flag (AVOID) triggers fast disposition per triage rules.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 - red flag.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AVOID. Negative shareholder equity combined with recurring large quarterly losses (Rs 166.61 Cr, Q3 FY26) and a structurally shrinking topline (5-yr revenue CAGR -12.94%). ~15% of promoter stake remains pledged. Rs 2,723 Cr contingent liabilities add tail risk on top of the negative net worth.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 estate sector tailwind (residential upcycle in NCR) could lift asset monetisation values if Omaxe can execute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Some subsidiary-level NCD/AIF funding suggests continued access to capital, however expensive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Negative shareholder equity - a going-concern-adjacent balance sheet, not just a cyclical dip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Consolidated net loss of Rs 166.61 Cr in a single quarter (Q3 FY26); FY-level net loss ~Rs 510 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Five-year revenue CAGR -12.94%, versus a flat industry median - structurally losing share, not just slowing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~15% of promoter holding pledged; Rs 2,723 Cr contingent liabilities add further tail risk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2,268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Negative-net-worth real estate developer with recurring large quarterly losses and a structurally shrinking topline - an AVOID red flag on fundamentals, regardless of the bullish X seed. thesis_fit 'neither', conviction 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red_flag_tier AVOID: negative shareholder equity plus ongoing large quarterly losses (Rs 166.61 Cr Q3 FY26) meets the going-concern-risk bar - never overridden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thesis_fit 'neither', conviction Low; Step 4 (four_box) skipped per the red-flag rule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Five-year revenue CAGR of -12.94% and Rs 2,723 Cr contingent liabilities compound the balance-sheet risk beyond a simple cyclical downturn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Bullish X seed (@RupakRoyC, untrusted triage, medium conviction) does not survive a basic fundamentals check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2026-09-15T15:26:30.262Z</dcterms:created>
  <dcterms:modified xsi:type="dcterms:W3CDTF">2026-09-15T15:26:30.266Z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