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PVR INOX Ltd</w:t>
      </w:r>
    </w:p>
    <w:p>
      <w:pPr>
        <w:pBdr>
          <w:bottom w:val="single" w:color="CCCCCC" w:sz="6" w:space="8"/>
        </w:pBdr>
        <w:spacing w:after="200"/>
      </w:pPr>
      <w:r>
        <w:rPr>
          <w:i/>
          <w:iCs/>
          <w:color w:val="666666"/>
          <w:sz w:val="22"/>
          <w:szCs w:val="22"/>
        </w:rPr>
        <w:t xml:space="preserve">India's largest multiplex chain, still working through post-merger integration - stock at multi-year lows, low single-digit ROE, and a still-uncertain content/footfall recovery.</w:t>
      </w:r>
    </w:p>
    <w:p>
      <w:pPr>
        <w:pStyle w:val="Heading1"/>
        <w:spacing w:after="120" w:before="280"/>
      </w:pPr>
      <w:r>
        <w:t xml:space="preserve">Business Overview</w:t>
      </w:r>
    </w:p>
    <w:p>
      <w:pPr>
        <w:spacing w:after="120"/>
      </w:pPr>
      <w:r>
        <w:t xml:space="preserve">PVR INOX (NSE/BSE: PVRINOX) is India's largest cinema exhibition chain, formed from the 2023 merger of PVR and INOX Leisure. It operates multiplex screens pan-India, monetising through box-office admissions, F&amp;B, and advertising/branding revenue, with an increasingly asset-heavy lease footprint typical of the exhibition business.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11,200 Cr</w:t>
            </w:r>
          </w:p>
        </w:tc>
      </w:tr>
      <w:tr>
        <w:tc>
          <w:tcPr>
            <w:tcW w:type="dxa" w:w="3200"/>
            <w:shd w:fill="F2F2F2" w:val="clear"/>
          </w:tcPr>
          <w:p>
            <w:r>
              <w:rPr>
                <w:b/>
                <w:bCs/>
              </w:rPr>
              <w:t xml:space="preserve">52-week range</w:t>
            </w:r>
          </w:p>
        </w:tc>
        <w:tc>
          <w:tcPr>
            <w:tcW w:type="dxa" w:w="5800"/>
          </w:tcPr>
          <w:p>
            <w:r>
              <w:t xml:space="preserve">~Rs 907 - Rs 1,250; stock has previously touched 44-month lows</w:t>
            </w:r>
          </w:p>
        </w:tc>
      </w:tr>
      <w:tr>
        <w:tc>
          <w:tcPr>
            <w:tcW w:type="dxa" w:w="3200"/>
            <w:shd w:fill="F2F2F2" w:val="clear"/>
          </w:tcPr>
          <w:p>
            <w:r>
              <w:rPr>
                <w:b/>
                <w:bCs/>
              </w:rPr>
              <w:t xml:space="preserve">ROE</w:t>
            </w:r>
          </w:p>
        </w:tc>
        <w:tc>
          <w:tcPr>
            <w:tcW w:type="dxa" w:w="5800"/>
          </w:tcPr>
          <w:p>
            <w:r>
              <w:t xml:space="preserve">~4.5%</w:t>
            </w:r>
          </w:p>
        </w:tc>
      </w:tr>
      <w:tr>
        <w:tc>
          <w:tcPr>
            <w:tcW w:type="dxa" w:w="3200"/>
            <w:shd w:fill="F2F2F2" w:val="clear"/>
          </w:tcPr>
          <w:p>
            <w:r>
              <w:rPr>
                <w:b/>
                <w:bCs/>
              </w:rPr>
              <w:t xml:space="preserve">Revenue (TTM)</w:t>
            </w:r>
          </w:p>
        </w:tc>
        <w:tc>
          <w:tcPr>
            <w:tcW w:type="dxa" w:w="5800"/>
          </w:tcPr>
          <w:p>
            <w:r>
              <w:t xml:space="preserve">~Rs 6,870 Cr, PAT ~Rs 445 Cr</w:t>
            </w:r>
          </w:p>
        </w:tc>
      </w:tr>
      <w:tr>
        <w:tc>
          <w:tcPr>
            <w:tcW w:type="dxa" w:w="3200"/>
            <w:shd w:fill="F2F2F2" w:val="clear"/>
          </w:tcPr>
          <w:p>
            <w:r>
              <w:rPr>
                <w:b/>
                <w:bCs/>
              </w:rPr>
              <w:t xml:space="preserve">Revenue growth (fwd)</w:t>
            </w:r>
          </w:p>
        </w:tc>
        <w:tc>
          <w:tcPr>
            <w:tcW w:type="dxa" w:w="5800"/>
          </w:tcPr>
          <w:p>
            <w:r>
              <w:t xml:space="preserve">~10.3%/yr forecast, roughly in line with/slightly below market</w:t>
            </w:r>
          </w:p>
        </w:tc>
      </w:tr>
      <w:tr>
        <w:tc>
          <w:tcPr>
            <w:tcW w:type="dxa" w:w="3200"/>
            <w:shd w:fill="F2F2F2" w:val="clear"/>
          </w:tcPr>
          <w:p>
            <w:r>
              <w:rPr>
                <w:b/>
                <w:bCs/>
              </w:rPr>
              <w:t xml:space="preserve">Debt/ROCE</w:t>
            </w:r>
          </w:p>
        </w:tc>
        <w:tc>
          <w:tcPr>
            <w:tcW w:type="dxa" w:w="5800"/>
          </w:tcPr>
          <w:p>
            <w:r>
              <w:t xml:space="preserve">Not confirmed this pass - lease-heavy balance sheet typical for exhibition chains</w:t>
            </w:r>
          </w:p>
        </w:tc>
      </w:tr>
    </w:tbl>
    <w:p>
      <w:pPr>
        <w:spacing w:after="100"/>
      </w:pPr>
    </w:p>
    <w:p>
      <w:pPr>
        <w:spacing w:after="120"/>
      </w:pPr>
      <w:r>
        <w:t xml:space="preserve">PVR INOX is still digesting the 2023 merger: box-office recovery has been uneven post-pandemic, content pipeline quality has been inconsistent, and occupancy/footfall have not returned to pre-COVID trend in a durable way, which shows up in a weak ~4.5% ROE. Forward revenue growth (~10.3%/yr) is unremarkable relative to the broader market. Screen additions and cost synergies from the merger remain the operative bull case, but nothing found this pass confirms those synergies are flowing through to returns yet.</w:t>
      </w:r>
    </w:p>
    <w:p>
      <w:pPr>
        <w:pStyle w:val="Heading1"/>
        <w:spacing w:after="120" w:before="280"/>
      </w:pPr>
      <w:r>
        <w:t xml:space="preserve">Technical Read (Weekly / Monthly MACD + Bollinger Bands, or RSI/CCI/Williams %R proxy)</w:t>
      </w:r>
    </w:p>
    <w:p>
      <w:pPr>
        <w:spacing w:after="120"/>
      </w:pPr>
      <w:r>
        <w:t xml:space="preserve">Stock has been in a sustained downtrend, previously hitting 44-month lows (~23% off its December high per news flow); currently trading well below its 52-week high (~Rs 1,250) near the ~Rs 907-966 area.</w:t>
      </w:r>
    </w:p>
    <w:p>
      <w:pPr>
        <w:pStyle w:val="Heading1"/>
        <w:spacing w:after="120" w:before="280"/>
      </w:pPr>
      <w:r>
        <w:t xml:space="preserve">ValuePickr Community Signal</w:t>
      </w:r>
    </w:p>
    <w:p>
      <w:pPr>
        <w:spacing w:after="120"/>
      </w:pPr>
      <w:r>
        <w:t xml:space="preserve">No forum deep-dive performed - four_box score (2.0) fell in the 'defaults neither unless explicit exception' band, so Step 7 forum check was skipped this pass to stay in budget. X-triage seed (@sudhir_bheda, 2026-09-13) flagged a bullish/high-conviction view; this independent fundamentals read does not corroborate that conviction level.</w:t>
      </w:r>
    </w:p>
    <w:p>
      <w:pPr>
        <w:spacing w:after="120"/>
      </w:pPr>
      <w:r>
        <w:rPr>
          <w:b/>
          <w:bCs/>
          <w:sz w:val="20"/>
          <w:szCs w:val="20"/>
        </w:rPr>
        <w:t xml:space="preserve">High-conviction call from a top contributor: </w:t>
      </w:r>
      <w:r>
        <w:rPr>
          <w:sz w:val="20"/>
          <w:szCs w:val="20"/>
        </w:rPr>
        <w:t xml:space="preserve">None sought this pass.</w:t>
      </w:r>
    </w:p>
    <w:p>
      <w:pPr>
        <w:pStyle w:val="Heading1"/>
        <w:spacing w:after="120" w:before="280"/>
      </w:pPr>
      <w:r>
        <w:t xml:space="preserve">BSE Corporate Actions / Other Red Flags</w:t>
      </w:r>
    </w:p>
    <w:p>
      <w:pPr>
        <w:spacing w:after="120"/>
      </w:pPr>
      <w:r>
        <w:t xml:space="preserve">No SEBI/fraud/going-concern red flag found this pass.</w:t>
      </w:r>
    </w:p>
    <w:p>
      <w:pPr>
        <w:pStyle w:val="Heading1"/>
        <w:spacing w:after="120" w:before="280"/>
      </w:pPr>
      <w:r>
        <w:t xml:space="preserve">Bull Case</w:t>
      </w:r>
    </w:p>
    <w:p>
      <w:pPr>
        <w:pStyle w:val="ListParagraph"/>
        <w:numPr>
          <w:ilvl w:val="0"/>
          <w:numId w:val="1"/>
        </w:numPr>
        <w:spacing w:after="60"/>
      </w:pPr>
      <w:r>
        <w:t xml:space="preserve">Largest scaled multiplex chain in India post-merger - potential for cost synergies and pricing power as integration matures</w:t>
      </w:r>
    </w:p>
    <w:p>
      <w:pPr>
        <w:pStyle w:val="ListParagraph"/>
        <w:numPr>
          <w:ilvl w:val="0"/>
          <w:numId w:val="1"/>
        </w:numPr>
        <w:spacing w:after="60"/>
      </w:pPr>
      <w:r>
        <w:t xml:space="preserve">Stock is well off its highs (~27% below 52-week high), which some read as a value entry point into a beaten-down cyclical</w:t>
      </w:r>
    </w:p>
    <w:p>
      <w:pPr>
        <w:pStyle w:val="ListParagraph"/>
        <w:numPr>
          <w:ilvl w:val="0"/>
          <w:numId w:val="1"/>
        </w:numPr>
        <w:spacing w:after="60"/>
      </w:pPr>
      <w:r>
        <w:t xml:space="preserve">Structural multiplex-screen penetration in India is still low relative to population, leaving long-run room for screen additions</w:t>
      </w:r>
    </w:p>
    <w:p>
      <w:pPr>
        <w:pStyle w:val="Heading1"/>
        <w:spacing w:after="120" w:before="280"/>
      </w:pPr>
      <w:r>
        <w:t xml:space="preserve">Bear Case / Key Risks</w:t>
      </w:r>
    </w:p>
    <w:p>
      <w:pPr>
        <w:pStyle w:val="ListParagraph"/>
        <w:numPr>
          <w:ilvl w:val="0"/>
          <w:numId w:val="1"/>
        </w:numPr>
        <w:spacing w:after="60"/>
      </w:pPr>
      <w:r>
        <w:t xml:space="preserve">ROE ~4.5% - weak returns on capital, no confirmed evidence merger synergies are showing up in profitability</w:t>
      </w:r>
    </w:p>
    <w:p>
      <w:pPr>
        <w:pStyle w:val="ListParagraph"/>
        <w:numPr>
          <w:ilvl w:val="0"/>
          <w:numId w:val="1"/>
        </w:numPr>
        <w:spacing w:after="60"/>
      </w:pPr>
      <w:r>
        <w:t xml:space="preserve">Cinema exhibition remains structurally challenged by OTT/streaming competition for content windows and audience attention</w:t>
      </w:r>
    </w:p>
    <w:p>
      <w:pPr>
        <w:pStyle w:val="ListParagraph"/>
        <w:numPr>
          <w:ilvl w:val="0"/>
          <w:numId w:val="1"/>
        </w:numPr>
        <w:spacing w:after="60"/>
      </w:pPr>
      <w:r>
        <w:t xml:space="preserve">Forward revenue growth (~10.3%/yr) is unremarkable, not a re-rating growth story</w:t>
      </w:r>
    </w:p>
    <w:p>
      <w:pPr>
        <w:pStyle w:val="ListParagraph"/>
        <w:numPr>
          <w:ilvl w:val="0"/>
          <w:numId w:val="1"/>
        </w:numPr>
        <w:spacing w:after="60"/>
      </w:pPr>
      <w:r>
        <w:t xml:space="preserve">Content pipeline dependency (a handful of tentpole releases drive quarterly results) makes earnings lumpy and hard to underwrite</w:t>
      </w:r>
    </w:p>
    <w:p>
      <w:pPr>
        <w:pStyle w:val="Heading1"/>
        <w:spacing w:after="120" w:before="280"/>
      </w:pPr>
      <w:r>
        <w:t xml:space="preserve">Market-Cap Tier (informational — not a gate in this project)</w:t>
      </w:r>
    </w:p>
    <w:p>
      <w:pPr>
        <w:spacing w:after="120"/>
      </w:pPr>
      <w:r>
        <w:rPr>
          <w:b/>
          <w:bCs/>
        </w:rPr>
        <w:t xml:space="preserve">Mid-cap (~Rs 11,200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no · TAM: weak · moat: weak · valuation: yes  (score 2 / 4)</w:t>
      </w:r>
    </w:p>
    <w:p>
      <w:pPr>
        <w:spacing w:after="120"/>
      </w:pPr>
      <w:r>
        <w:rPr>
          <w:i/>
          <w:iCs/>
          <w:color w:val="666666"/>
          <w:sz w:val="20"/>
          <w:szCs w:val="20"/>
        </w:rPr>
        <w:t xml:space="preserve">Post-merger scale and a beaten-down valuation are the case for; structural OTT competition, unconfirmed synergy realisation, and weak ROE (~4.5%) are the case against. Score in the default-neither band.</w:t>
      </w:r>
    </w:p>
    <w:p>
      <w:pPr>
        <w:pStyle w:val="Heading1"/>
        <w:spacing w:after="120" w:before="280"/>
      </w:pPr>
      <w:r>
        <w:t xml:space="preserve">Verdict</w:t>
      </w:r>
    </w:p>
    <w:p>
      <w:pPr>
        <w:spacing w:after="120"/>
      </w:pPr>
      <w:r>
        <w:rPr>
          <w:b/>
          <w:bCs/>
          <w:sz w:val="24"/>
          <w:szCs w:val="24"/>
        </w:rPr>
        <w:t xml:space="preserve">Beaten-down multiplex leader still mid-integration - cheap on price action but ROE and growth don't yet support a conviction call. thesis_fit 'neither', conviction Low-Medium.</w:t>
      </w:r>
    </w:p>
    <w:p>
      <w:pPr>
        <w:pStyle w:val="ListParagraph"/>
        <w:numPr>
          <w:ilvl w:val="0"/>
          <w:numId w:val="1"/>
        </w:numPr>
        <w:spacing w:after="60"/>
      </w:pPr>
      <w:r>
        <w:t xml:space="preserve">four_box score = 2.0 (tailwind no - structural OTT competition persists; tam weak - low screen penetration is a real but slow-moving opportunity; moat weak - scale post-merger but limited pricing power evidenced; valuation yes - stock well off 52-week high) - score sits in the 2.0-2.5 band, defaults to 'neither' per Step 6 rule; no explicit exception written given the weak ROE</w:t>
      </w:r>
    </w:p>
    <w:p>
      <w:pPr>
        <w:pStyle w:val="ListParagraph"/>
        <w:numPr>
          <w:ilvl w:val="0"/>
          <w:numId w:val="1"/>
        </w:numPr>
        <w:spacing w:after="60"/>
      </w:pPr>
      <w:r>
        <w:t xml:space="preserve">No red flag triggered</w:t>
      </w:r>
    </w:p>
    <w:p>
      <w:pPr>
        <w:pStyle w:val="ListParagraph"/>
        <w:numPr>
          <w:ilvl w:val="0"/>
          <w:numId w:val="1"/>
        </w:numPr>
        <w:spacing w:after="60"/>
      </w:pPr>
      <w:r>
        <w:t xml:space="preserve">X-triage source (@sudhir_bheda) flagged bullish/high conviction - this independent screener-based read is more cautious given the ~4.5% ROE and unconfirmed synergy realisation</w:t>
      </w:r>
    </w:p>
    <w:p>
      <w:pPr>
        <w:pStyle w:val="ListParagraph"/>
        <w:numPr>
          <w:ilvl w:val="0"/>
          <w:numId w:val="1"/>
        </w:numPr>
        <w:spacing w:after="60"/>
      </w:pPr>
      <w:r>
        <w:t xml:space="preserve">No forum deep-dive per budget/Step 7 rule (not 'genuinely promising' enough to justify it this pass)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2026-09-13T06:24:47.862Z</dcterms:created>
  <dcterms:modified xsi:type="dcterms:W3CDTF">2026-09-13T06:24:47.862Z</dcterms:modified>
</cp:coreProperties>
</file>

<file path=docProps/custom.xml><?xml version="1.0" encoding="utf-8"?>
<Properties xmlns="http://schemas.openxmlformats.org/officeDocument/2006/custom-properties" xmlns:vt="http://schemas.openxmlformats.org/officeDocument/2006/docPropsVTypes"/>
</file>