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RKEC Projects Ltd (RKEC Infra)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 civil/defense-infrastructure EPC contractor with promoters having pledged ~78.5% of their holding - a severe distress signal that overrides an otherwise modest fundamentals profile.</w:t>
      </w:r>
    </w:p>
    <w:p>
      <w:pPr>
        <w:shd w:fill="FFF0F0" w:val="clear"/>
        <w:spacing w:after="200"/>
      </w:pPr>
      <w:r>
        <w:rPr>
          <w:b/>
          <w:bCs/>
          <w:color w:val="B8860B"/>
          <w:sz w:val="22"/>
          <w:szCs w:val="22"/>
        </w:rPr>
        <w:t xml:space="preserve">RED FLAG TIER: HIGH CAUTION — </w:t>
      </w:r>
      <w:r>
        <w:rPr>
          <w:sz w:val="20"/>
          <w:szCs w:val="20"/>
        </w:rPr>
        <w:t xml:space="preserve">Promoters have pledged ~78.5% of their holding - a severe balance-sheet-stress signal for the promoter entity - alongside high debtor days (~154), flagged low interest coverage, and a ~64% one-year market-cap decline.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RKEC Projects Ltd (NSE: RKEC), incorporated 2005, is a civil and defense-infrastructure construction/engineering company working on industrial, marine and bridge projects. Seeded via an untrusted X tip (@rajuidesai, bearish, high conviction, 2026-09-13) - directionally corroborated by the promoter-pledge finding.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72.4 Cr (down ~-64.4% over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</w:t>
            </w:r>
          </w:p>
        </w:tc>
        <w:tc>
          <w:tcPr>
            <w:tcW w:type="dxa" w:w="5800"/>
          </w:tcPr>
          <w:p>
            <w:r>
              <w:t xml:space="preserve">Revenue ~Rs 258 Cr; Profit ~Rs 9.48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~10.8% (3-yr avg)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60.61 - 148.50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pledge</w:t>
            </w:r>
          </w:p>
        </w:tc>
        <w:tc>
          <w:tcPr>
            <w:tcW w:type="dxa" w:w="5800"/>
          </w:tcPr>
          <w:p>
            <w:r>
              <w:t xml:space="preserve">~78.5% of promoter holding pledged - severe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High debtors (~154 days); low interest coverage flagged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Fast disposition - HIGH CAUTION. RKEC is a small, still-revenue-generating EPC contractor (Rs 258 Cr revenue, modest Rs 9.5 Cr profit, ~10.8% ROE) - not outright loss-making or negative-net-worth - but promoters having pledged ~78.5% of their holding is a severe balance-sheet-stress signal for the promoter entity, typically preceding forced-sale/margin-call risk that can hit the share price independent of operating performance. Combined with a ~64% one-year market-cap decline, high debtor days (154) and flagged low interest coverage, this reads as a company under real financial stress even though it has not crossed into AVOID/EXCLUDE territory (no negative net worth or fraud finding).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red-flag caution short-circuits Step 4/6/7.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check performed per red-flag rule.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- red flag.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HIGH CAUTION: ~78.5% of promoter holding is pledged - a severe distress signal - alongside high debtor days (~154), flagged low interest coverage, and a ~64% one-year market-cap decline.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Still generating real revenue (~Rs 258 Cr) and modest profit (~Rs 9.5 Cr) with a ~10.8% 3-yr average ROE - not an outright going-concern case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~78.5% promoter pledge is a severe distress signal, raising forced-sale/margin-call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down ~64.4% in one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debtors (~154 days) and flagged low interest coverage point to working-capital/liquidity stress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 X source's bearish, high-conviction call is directionally corroborated by the pledge finding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Nano/micro-cap (~Rs 72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Small EPC contractor still generating revenue but with promoters having pledged ~78.5% of their holding - HIGH CAUTION, directionally consistent with the bearish X tip.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red_flag_tier HIGH CAUTION: severe promoter pledge (~78.5%) combined with high debtor days and a sharp market-cap decline - not yet AVOID/EXCLUDE (no negative net worth or fraud finding), but a serious distress signal.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'neither', conviction Low, Step 4/6/7 skipped per the red-flag rule.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Entity confirmed with high confidence via screener.in and multiple sources under the RKEC ticker.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2026-09-15T15:16:44.277Z</dcterms:created>
  <dcterms:modified xsi:type="dcterms:W3CDTF">2026-09-15T15:16:44.278Z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