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Rane (Madras) [RML]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Mid-cap auto-ancillary (steering/suspension) supplier in a cyclical automotive recovery, but the quarter's dramatic profit jump is a low-base effect, not a structural inflection; fairly full valuation.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Rane (Madras) Ltd (NSE: RML) manufactures automotive steering and suspension components, with a technology partnership with Nisshinbo Holdings (Japan). Seeded via X (untrusted triage, @RupakRoyC, 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~14.0%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(Q3 FY26)</w:t>
            </w:r>
          </w:p>
        </w:tc>
        <w:tc>
          <w:tcPr>
            <w:tcW w:type="dxa" w:w="5800"/>
          </w:tcPr>
          <w:p>
            <w:r>
              <w:t xml:space="preserve">~Rs 1,015 Cr, +21.2%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(Q3 FY26)</w:t>
            </w:r>
          </w:p>
        </w:tc>
        <w:tc>
          <w:tcPr>
            <w:tcW w:type="dxa" w:w="5800"/>
          </w:tcPr>
          <w:p>
            <w:r>
              <w:t xml:space="preserve">~Rs 30.5 Cr vs ~Rs 0.4 Cr YoY (+7,726%, off a near-zero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~31.1x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272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608 - Rs 1,440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Rane Madras's Q3 FY26 profit growth headline (+7,726% YoY) is arithmetically dramatic but reflects recovery from a near-zero prior-year base (Rs 0.39 Cr), not a new structural driver - the more meaningful figure is revenue +21.2% YoY, consistent with a broader automotive-sector cyclical recovery rather than a company-specific inflection. ROCE (~14%) and ROE (~15.4%) are respectable but not exceptional, and the stock trades at a fairly full ~31x P/E for that return profile. Nisshinbo's technology partnership provides some product-engineering moat in steering/suspension systems, though the auto-ancillary space overall is competitive.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~Rs 608-1,440 (&gt;2x) - the stock has more than doubled off its 52-week low, consistent with the cyclical-recovery narrative already being reflected in price; not pulled in further TA detail.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four_box score falls in the hard-neither band;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@RupakRoyC (untrusted X triage), bullish, 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issues found. Promoter Nisshinbo Holdings Inc. declared no encumbrance on shares for FY26. Statutory auditor BSR &amp; Co. LLP issued unmodified (clean) audit reports for FY26 - no resignation. A routine retirement of a business-unit President (after 22 years) was disclosed - ordinary succession, not a governance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Automotive sector cyclical recovery reflected in genuine revenue growth (+21.2% YoY in Q3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Nisshinbo (Japan) technology partnership supports some product-engineering differentiation in steering/suspension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promoter-pledge declaration; unmodified statutory audit report; no governance red flags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headline profit-growth figure (+7,726%) is a low-base statistical artifact, not evidence of a structural margin or demand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~31x P/E is fairly full for a ~14% ROCE / ~15% ROE auto-ancillary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more than doubled off its 52-week low - much of the cyclical recovery appears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only, no independent corroboration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3,759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Q3 FY26's dramatic YoY profit-growth headline is a low-base artifact; underlying revenue growth (+21%) reflects an ordinary auto-cycle recovery already substantially priced into a ~31x P/E - hard-neither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Rane (Madras) Ltd (NSE: RML). Genuine but ordinary auto-sector cyclical recovery, with a low-base profit-growth headline overstating the inflection; valuation already fairly full.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real but garden-variety auto-cycle recovery, not a named structural catalyst; tam no - mature, competitive auto-ancillary component space; moat weak - Nisshinbo technology partnership provides some differentiation but not a hard moat; valuation no - ~31x P/E is full for the return profile, and the stock has already re-rated off its 52-week low). Score is in the &lt;=1.5 hard-neither band.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- clean pledge declaration, unmodified statutory audit, no SEBI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per the four_box outcome;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(RupakRoyC)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2026-09-15T15:25:57.033Z</dcterms:created>
  <dcterms:modified xsi:type="dcterms:W3CDTF">2026-09-15T15:25:57.036Z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