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 Chand &amp; Company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Small-cap educational publisher trading cheap (P/E ~6-7x) but with weak ROE, high debtor days and no growth tailwind identified - fast fundamentals disposition, thesis_fit 'neither'.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 Chand &amp; Company is an educational publisher and content provider spanning early learning, K-12, higher education, competitive-exam prep and digital platforms. Seeded via X triage (untrusted, @Disciplined_Inv, high conviction,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486-500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130 - Rs 258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~6-7% (3-yr avg)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~9-12%/yr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Low (debt/equity ~1%)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 / working capital</w:t>
            </w:r>
          </w:p>
        </w:tc>
        <w:tc>
          <w:tcPr>
            <w:tcW w:type="dxa" w:w="5800"/>
          </w:tcPr>
          <w:p>
            <w:r>
              <w:t xml:space="preserve">P/E ~6.6x (cheap); debtor days high at ~160 days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 Chand screens cheap on a headline basis (P/E ~6.6x, low debt) but return on equity is weak (~6-7%) and working-capital quality is poor - debtor days of ~160 are high for a publisher and consistent with the channel-heavy, seasonal, receivables-laden economics typical of Indian education publishing. No specific named structural tailwind (e.g., a confirmed digital-pivot inflection or market-share gain) was found this pass; educational publishing faces a secular digital-disruption headwind rather than a tailwind.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- fundamentals-driven verdict.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deep-dive performed - four_box score below the bar for escalation.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identified this pass; high debtor days is a working-capital caution, not a formal red flag (no going-concern, fraud, or promoter-pledge signal found).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Cheap headline valuation (P/E ~6.6x) and low reported debt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Established publishing brand across K-12/higher-ed/competitive-exam segments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Weak ROE (~6-7%) despite the low debt - capital is not being deployed at attractive returns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debtor days (~160) signal working-capital/collection quality concerns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Educational publishing faces secular digital-disruption pressure rather than a growth tailwind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named structural inflection found to justify a re-rating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486-500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no · TAM: no · moat: weak · valuation: yes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Cheap valuation is the only clear positive; weak ROE, high debtor days and a secular digital-disruption headwind for print publishing outweigh it. Score falls in the hard 'neither' band (&lt;=1.5).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Cheap-looking small-cap publisher (P/E ~6.6x) but weak ROE (~6-7%) and high debtor days, with no growth tailwind or structural inflection identified - four_box score ~1.5, thesis_fit 'neither' (hard default per scoring rule),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1.5 (tailwind no, tam no, moat weak, valuation yes on cheapness) - falls in the 2.0-2.5-or-below 'neither' default band with no exception written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debtor days is a genuine working-capital caution flagged in bear_case, though it does not meet the formal red-flag bar (no going-concern/fraud/pledge signal)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check performed - fundamentals did not clear the bar for escalation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2026-09-15T15:17:13.397Z</dcterms:created>
  <dcterms:modified xsi:type="dcterms:W3CDTF">2026-09-15T15:17:13.398Z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