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Shankesh Jewellers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Recently-listed asset-light B2B handcrafted-gold-jewellery wholesaler with striking ROCE/ROE (50%/69%) and a cheap-looking 14.2x P/E - but most of the FY26 profit surge (PAT +165%) came from unhedged gold-price inventory gains that analysts expect to moderate.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Shankesh Jewellers is a B2B wholesale handcrafted gold jewellery company (30+ years operating history, listed NSE/BSE Aug 2026) using an asset-light job-work model (production outsourced to karigars). FY26 revenue Rs 1,630.79 Cr (from Rs 1,403.83 Cr FY25, from Rs 1,061.78 Cr FY24); served 418 customers with the largest at only 6.12% of revenue and ~80% repeat buyers. Seeded via untrusted X triage (@nid_rockz, bullish/very-high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1,515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~50.3%; ROE ~68.8% (3-yr avg ~55.2%)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FY24-&gt;FY26: Rs 1,061.78 Cr -&gt; Rs 1,403.83 Cr -&gt; Rs 1,630.79 Cr (FY25-26 +16%)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PAT growth</w:t>
            </w:r>
          </w:p>
        </w:tc>
        <w:tc>
          <w:tcPr>
            <w:tcW w:type="dxa" w:w="5800"/>
          </w:tcPr>
          <w:p>
            <w:r>
              <w:t xml:space="preserve">FY24-&gt;FY26: Rs 12.82 Cr -&gt; Rs 40.31 Cr -&gt; Rs 106.68 Cr (FY26 +165%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~14.2x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Listing</w:t>
            </w:r>
          </w:p>
        </w:tc>
        <w:tc>
          <w:tcPr>
            <w:tcW w:type="dxa" w:w="5800"/>
          </w:tcPr>
          <w:p>
            <w:r>
              <w:t xml:space="preserve">IPO Aug 2026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headline ROCE/ROE and P/E look excellent, but the FY26 PAT surge (+165%) is substantially explained by unhedged gold-inventory gains during a period of rising gold prices - the company does not currently hedge inventory, so a meaningful share of the reported profit is a mark-to-market windfall rather than durable operating margin expansion. IPO-note analysts (Sushil Finance/InCred) explicitly flag that growth and margins are likely to moderate as gold prices stabilize, with only a modest offsetting benefit from lower interest costs (~Rs 14 Cr) in FY27. The underlying business (diversified 418-customer base, ~80% repeat buyers, asset-light job-work model) is genuinely decent, but the current-year returns overstate normalized earnings power.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Freshly listed (Aug 2026); insufficient trading history for a meaningful technical read.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found/resolved this pass (very recent listing); fast fundamentals/filings-based write-up only.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found.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AVOID/EXCLUDE-tier red flag. DRHP discloses meaningful related-party transactions (~Rs 63.3 Cr in the most recent disclosed period, including leased premises from a promoter-group individual), some past regulatory-filing non-compliance instances, and no director with prior listed-company board experience - governance items to monitor, not a fast-disposition red flag (no pledge, no auditor resignation, no SEBI fraud action found).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diversified customer base (418 customers, largest at 6.12%, ~80% repeat) - unusual and positive for a B2B wholesaler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30+ years operating history prior to listing; asset-light job-work model limits capex needs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P/E ~14.2x looks inexpensive if any durable earnings power is retained post-normalization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Most of the FY26 profit surge is gold-price-driven (unhedged inventory gains), not structural margin improvement - analysts expect moderation in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Meaningful related-party transactions and no listed-company board experience among directors - governance items to watch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short public track record (listed Aug 2026) - no post-listing quarter yet to test the moderation thesis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1,515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yes · moat: weak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FY26 profit surge is largely a gold-price/unhedged-inventory windfall per IPO-note analysts, expected to moderate in FY27; genuine positives (diversified customer base, asset-light model) don't yet offset the earnings-quality concern.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Strong-looking ROCE/ROE and cheap P/E are substantially a gold-price-driven, unhedged-inventory artifact per IPO analysts - not yet evidence of a durable re-rating case. thesis_fit 'neither', conviction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four_box: tailwind weak (gold-price-driven profit surge, not a structural inflection), tam yes, moat weak (diversified customers but asset-light job-work model has limited differentiation), valuation weak (cheap-looking P/E built on inflated FY26 earnings) - score 2.5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project rule, a 2.0-2.5 four-box score defaults to 'neither' absent an explicit exception; earnings-quality concern (analyst-flagged gold-price dependency) argues against writing 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flag; no forum deep-dive given the very recent listing and absence of a resolved ValuePickr thread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2026-09-16T02:49:44.972Z</dcterms:created>
  <dcterms:modified xsi:type="dcterms:W3CDTF">2026-09-16T02:49:44.974Z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