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South West Pinnacle Exploration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Cheap, fast-growing coal/mineral drilling-and-exploration contractor (NSE: SOUTHWEST) riding India's mining-capex and critical-minerals-exploration push - record order book, net cash, ~17.5x P/E against 35% revenue growth and 101% profit growth, entering gold exploration and a self-funded Rs 400 Cr Jharkhand coal-block capex plan.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State.json name 'Southwest Pinnacle Exports' does not match any listed entity exactly; resolved with high confidence to South West Pinnacle Exploration Ltd (NSE: SOUTHWEST, BSE: 543986) - the name is otherwise unique in the market and 'Exports' vs 'Exploration' reads as an X-source typo/mis-transcription, not a different company. Provides end-to-end drilling and exploration services (coal, ferrous, non-ferrous, atomic, base-metal) to PSU miners (Hindustan Zinc, NALCO, CMPDI, coal blocks) and is now diversifying into gold exploration and RC drilling, plus developing its own Jharkhand coal block.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700 Cr (as of 11-Sep-2026)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52-week range</w:t>
            </w:r>
          </w:p>
        </w:tc>
        <w:tc>
          <w:tcPr>
            <w:tcW w:type="dxa" w:w="5800"/>
          </w:tcPr>
          <w:p>
            <w:r>
              <w:t xml:space="preserve">~Rs 213; range Rs 121-275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~19.2%; ROE ~16.5% (3-yr avg ROE 8.6% - recent years much stronger than the average)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Revenue CAGR ~16.5% vs industry ~11.4%; FY26 revenue Rs 243 Cr, +35%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growth</w:t>
            </w:r>
          </w:p>
        </w:tc>
        <w:tc>
          <w:tcPr>
            <w:tcW w:type="dxa" w:w="5800"/>
          </w:tcPr>
          <w:p>
            <w:r>
              <w:t xml:space="preserve">FY26 net profit Rs 33 Cr, +101%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Net cash position (~Rs 41 Cr net cash); zero net debt reported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~17.5x, P/B ~2.8x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 / capex</w:t>
            </w:r>
          </w:p>
        </w:tc>
        <w:tc>
          <w:tcPr>
            <w:tcW w:type="dxa" w:w="5800"/>
          </w:tcPr>
          <w:p>
            <w:r>
              <w:t xml:space="preserve">Order book ~Rs 252-581 Cr (varies by disclosure date) incl. a &gt;Rs 300 Cr Hindustan Zinc order; ~Rs 400 Cr self-funded Jharkhand coal-block capex plan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small-cap drilling/exploration contractor compounding off a low base: FY26 revenue grew 35% to Rs 243 Cr and net profit more than doubled (+101%) to Rs 33 Cr, funded from a net-cash balance sheet. The ~17.5x trailing P/E is not demanding for that growth rate. The company is broadening beyond its core coal/mineral drilling base into gold exploration and RC drilling (three new orders, ~Rs 21.5-22.7 Cr) and is developing its own Jharkhand coal block (~Rs 400 Cr capex, mostly internal accruals + bank support + offtake agreements) - a genuine second growth leg rather than pure order-book churn. Working-capital risk is real: debtor days are high (~155 days), typical of PSU-client contracting, and the business is order-book-lumpy with limited structural moat beyond client relationships and rig fleet.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 thesis rests on fundamentals/valuation, not chart position; stock is well off its 52-week high of Rs 275 at ~Rs 213.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deep forum read performed this pass (fast-triage budget) - a live ValuePickr thread was resolved (topic_id 176195, 'South West Pinnacle Exploration', 48 posts, most recently bumped 2026-09-14) but not read post-by-post. Flagging for a future deep-dive rather than reading now.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assessed this pass - thread exists and is active (last post 2026-09-14) but content not reviewed.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AVOID/EXCLUDE/HIGH CAUTION triggers found. Minor governance note: promoters (Vikas Jain, Piyush Jain) sold ~13.86 lakh shares via open market, trimming holding from 65.94% to 61.70%, and had to file a revised SAST disclosure after BSE flagged an unclear transaction-date breakdown - a paperwork correction, not a fraud finding, but worth monitoring for further promoter selling.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for the growth: ~17.5x P/E against 35% revenue growth and 101% profit growth, net cash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tailwind: India's push on domestic coal-block auctions and critical-minerals exploration is expanding the addressable drilling-services market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Diversifying beyond core business into gold exploration/RC drilling and its own coal-block development (Rs 400 Cr capex, largely self-funded) - a real second growth leg, not just order roll-forward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Record/expanding order book with marquee PSU clients (Hindustan Zinc &gt;Rs 300 Cr single order, NALCO, CMPDI)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debtor days (~155) - PSU-client working-capital drag that can strain a small balance sheet in a downturn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Modest structural moat - competitive-bid drilling/exploration services business, not a differentiated-technology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stake has been gradually trimmed (65.94% -&gt; 61.70%) via open-market sales, with one disclosure needing BSE-flagged correction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Entity identity carries residual naming uncertainty (state.json says 'Exports', confirmed listed entity is 'Exploration') - re-verify before any capital-allocation decision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700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yes  (score 3.5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Coal/critical-minerals exploration capex cycle is a real tailwind; TAM expanding via gold exploration and own coal-block development; moat is weak (competitive-bid drilling services, high debtor days); valuation is cheap (~17.5x P/E) for the growth delivered (revenue +35%, profit +101%).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Cheap (~17.5x P/E), net-cash, fast-compounding coal/mineral drilling contractor with a genuine second growth leg (gold exploration, own coal-block capex) - four_box score 3.5 permits and, given the growth math (35% revenue growth, 101% profit growth), supports a 10x-in-2-3-years label. Conviction Medium given execution/working-capital risk and unresolved entity-name discrepancy.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3.5 (tailwind yes - coal/critical-minerals exploration capex cycle; tam yes - expanding into gold exploration and own coal-block development; moat weak - competitive-bid services business; valuation yes - ~17.5x P/E cheap for the growth rate).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&gt;=3.0 permits a 10x-in-2-3-years label; growth math (revenue +35%, profit +101%, ROCE ~19%, net cash) genuinely supports it, consistent with prior small-cap batches (eppelton, rappid-valves, garuda-construction) rather than a reflexive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Entity match is high-confidence but not exact-name: state.json 'Southwest Pinnacle Exports' vs listed 'South West Pinnacle Exploration Ltd' (SOUTHWEST) - no other listed entity with a similar name exists, so treated as the same company (X-source naming variance), but flagged for anyone patching state.json.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found; forum thread resolved (topic_id 176195) but not deep-read this pass - a candidate for the next deep-dive rotation given the applied thesis label.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2026-09-15T15:11:47.471Z</dcterms:created>
  <dcterms:modified xsi:type="dcterms:W3CDTF">2026-09-15T15:11:47.476Z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