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Sri Lotus Developers and Realty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Asset-light Mumbai luxury real-estate developer (Juhu-area 'Lotus Developers' brand) with genuinely explosive recent growth (+116% YoY revenue), high ROCE and low debt, but a rich ~40x P/E and a very short public track record since its 2025 IPO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Mumbai-based luxury residential developer operating an asset-light model via development/joint-development agreements (JDAs) rather than outright land acquisition, marketed under the 'Lotus Developers' brand which commands a ~22% pricing premium in the Juhu micro-market. IPO'd in 2025. Seeded via untrusted X triage (@nid_rockz, 2026-09-13).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10,228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52-week range</w:t>
            </w:r>
          </w:p>
        </w:tc>
        <w:tc>
          <w:tcPr>
            <w:tcW w:type="dxa" w:w="5800"/>
          </w:tcPr>
          <w:p>
            <w:r>
              <w:t xml:space="preserve">Rs 209; range Rs 102 - Rs 215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21.2%; ROE 16.7% (3-yr ROE 28.0%)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June-2026 quarter net sales +115.8% YoY to Rs 132.4 Cr; net profit Rs 45.5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debt-free; debt-to-equity ~7.9%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~39.8x; book value Rs 39.1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strong small-cap growth print: revenue more than doubled YoY in the most recent reported quarter, ROCE is a healthy 21.2% with a 3-year ROE track record of 28%, and the balance sheet is almost debt-free - the asset-light JDA model lets the company scale project count without loading up on land-acquisition debt. The brand premium (22% in Juhu) is a real, quantifiable differentiator versus generic developers. The main caution is track record: the company only IPO'd in 2025, so this is one strong quarter/print against a very short public history in an inherently lumpy, project-completion-driven revenue business, and the ~40x P/E already reflects meaningful optimism.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near its all-time/52-week high (Rs 209 vs range Rs 102-215) - strong recent price momentum consistent with the growth print.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under 'Sri Lotus Developers' or 'Lotus Developers Realty' (forum search returned no matches) - likely too recently listed (2025) to have an established community thread yet.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found - no ValuePickr thread resolved for this name.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found. Recently listed (2025 IPO) - standard limited disclosure history for a new listing.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+115.8% YoY in the most recent quarter - genuinely explosive, not incremental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21.2%, 3-yr ROE 28% - strong capital efficiency for a real-estate developer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Asset-light JDA model avoids heavy land-bank debt; company is almost debt-free (D/E ~7.9%)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Quantifiable brand premium (22% pricing premium in the Juhu luxury micro-market) is a real moat element, not just marketing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Very short public track record (2025 IPO) - one strong quarter is not yet a proven multi-year pattern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Real-estate revenue recognition is lumpy and project-completion-driven; the +116% print may partly reflect base-quarter timing rather than a sustainable run-rate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~40x P/E is rich for a real-estate developer, a sector that historically trades at much lower multiples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forum/community corroboration found to independently validate the growth thesis or surface execution risks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10,228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yes · valuation: no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Mumbai luxury real-estate cycle and asset-light JDA scaling support tailwind/tam; a quantifiable 22% brand premium in the Juhu micro-market supports moat; valuation is rich at ~40x P/E. Score permits a 10x/100x label given the +115.8% YoY growth print.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Asset-light Mumbai luxury developer with genuinely explosive recent growth (+116% YoY), strong ROCE (21.2%) and an almost debt-free balance sheet - the numbers clear the bar for a 10x-in-2-3-years label, but conviction is capped at Medium given the very short public track record and no community corroboration yet.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3.0 (tailwind yes - Mumbai luxury housing cycle; tam yes - MMR redevelopment/luxury pipeline; moat yes - quantifiable 22% brand premium plus asset-light JDA sourcing; valuation no - ~40x P/E). Score clears the 3.0 threshold that permits a 10x/100x label given the genuinely strong growth math (+116% YoY revenue) - analyst_override applied to assign 10x-in-2-3-years rather than defaulting to neither.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capped at Medium per the rule: fundamentals alone support the label, but there is no forum/community corroboration (no ValuePickr thread found) and only a very short (since-2025) public track record to lean 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2026-09-16T02:49:41.848Z</dcterms:created>
  <dcterms:modified xsi:type="dcterms:W3CDTF">2026-09-16T02:49:41.849Z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