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The South Indian Bank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Kerala-based old private-sector bank with acceptable current return ratios (ROE ~13.5%, ROCE ~14.8%) but a poor five-year sales growth of only ~6.15% and no specific named structural inflection found. Seeded 2026-09-13 via untrusted X triage (@investor_vineet, bearish, medium conviction).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South Indian Bank (NSE/BSE: SOUTHBANK) is an old private-sector bank headquartered in Kerala, with a traditional NRI-remittance and retail/SME deposit franchise concentrated in South India, gradually diversifying its loan book toward gold loans, MSME and corporate credit.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12,096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28.11 - Rs 49.90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~13.54% (3-yr avg lower, ~13.7%)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~14.79%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~0.34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5-year sales growth</w:t>
            </w:r>
          </w:p>
        </w:tc>
        <w:tc>
          <w:tcPr>
            <w:tcW w:type="dxa" w:w="5800"/>
          </w:tcPr>
          <w:p>
            <w:r>
              <w:t xml:space="preserve">~6.15% - described by screener as 'poor'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Interest coverage</w:t>
            </w:r>
          </w:p>
        </w:tc>
        <w:tc>
          <w:tcPr>
            <w:tcW w:type="dxa" w:w="5800"/>
          </w:tcPr>
          <w:p>
            <w:r>
              <w:t xml:space="preserve">Low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Current return ratios (ROE ~13.5%, ROCE ~14.8%) are respectable for an old private-sector bank, but the five-year sales/growth track record (~6.15%) is weak, and interest coverage is flagged as low. No specific named management or structural inflection (e.g., a fresh capital raise tied to a defined growth plan, a credit-rating upgrade cycle, or a named new-segment push) was found in this pass to justify treating this as anything beyond a steady, slow-growth old private bank.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large-cap fast-triage write-up, no forum deep-dive per rule.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large-cap-treatment stock with no named inflection found, per fast-triage rule (topic_id null in state.json; not chased further).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- large-cap fast-path.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exclusion-level red flag found. Reasonable D/E (~0.34) and positive ROE/ROCE, but low interest coverage and a poor five-year growth track record are standing cautions, not a going-concern issue.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ROE/ROCE (~13.5%/~14.8%) are acceptable for an old private bank, and leverage (D/E ~0.34) is not excessive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Kerala/NRI-remittance franchise and gold-loan/MSME diversification provide some structural ballast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Five-year sales growth of only ~6.15% is genuinely weak - a slow-growth franchise, consistent with the bearish X seed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interest coverage flagged independently by screener-type 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inflection (capital raise, rating upgrade, new-segment push) found to argue for anything beyond continuation of slow growth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Large-cap-treatment old private bank (~Rs 12,096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Acceptable current return ratios but a genuinely weak five-year growth track record and no named structural inflection - thesis_fit 'neither' per the large-cap fast-triage default, directionally consistent with the bearish X seed.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Large-cap-treatment fast-triage rule applied: default tam 'no' since no specific named management/structural inflection was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 given the weak five-year sales growth (~6.15%) and low interest coverage, despite acceptable current ROE/ROCE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the large-cap-no-inflection fast-path; topic_id remains null in state.json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exclusion - this is a fundamentals-driven 'neither', and the bearish X seed is broadly corroborated by the weak growth track record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2026-09-15T15:26:30.665Z</dcterms:created>
  <dcterms:modified xsi:type="dcterms:W3CDTF">2026-09-15T15:26:30.666Z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