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Trishakti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infra-capex play that pivoted from electronics into pure-play heavy-equipment (crane) leasing, with explosive FY26 growth but a very short track record and heavy debtor days.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Trishakti Industries Ltd (BSE: 531279, formerly Trishakti Electronics and Industries) has repositioned itself as an infrastructure-solutions provider, buying heavy earth-moving equipment (primarily cranes) and leasing it on a project basis to large infrastructure contractors, riding India's ongoing infra capex cycle. Seeded 2026-09-13 via untrusted X triage (@13gaurdevesh, bullish/high-conviction).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427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52-week range</w:t>
            </w:r>
          </w:p>
        </w:tc>
        <w:tc>
          <w:tcPr>
            <w:tcW w:type="dxa" w:w="5800"/>
          </w:tcPr>
          <w:p>
            <w:r>
              <w:t xml:space="preserve">~Rs 253 (range ~Rs 115 - Rs 285)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~14.2% trailing; management guiding to 22-25%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EBITDA growth</w:t>
            </w:r>
          </w:p>
        </w:tc>
        <w:tc>
          <w:tcPr>
            <w:tcW w:type="dxa" w:w="5800"/>
          </w:tcPr>
          <w:p>
            <w:r>
              <w:t xml:space="preserve">FY26 revenue +90% YoY; EBITDA +220% YoY; Q3 FY26 EBITDA margin ~70%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~0.97 (funding fleet purchases)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~206 (high)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~38.6x trailing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pivot to a pure-play equipment-leasing model has produced a genuinely sharp growth inflection (fleet utilisation at 100%, revenue +90% YoY, EBITDA +220% YoY, ~70% EBITDA margins in Q3 FY26), and the infra capex tailwind behind it is real. But two things temper it: debtor days of ~206 are high for a leasing business and point to working-capital/collection risk with project-based infra clients, and the ~38.6x trailing P/E already prices in a large chunk of the turnaround story before it has a multi-year track record.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 fundamentals triage; stock trades in the upper half of its 52-week range (~Rs 115-285).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Forum/topic check skipped this pass - four_box score (2.5) sits in the band that defaults to 'neither' and was not judged genuinely promising enough to justify a forum search within batch budget.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CIRP, negative net worth, or SEBI-action red flags surfaced this pass. Care items: high debtor days (~206) and a very recent (FY26) business-model pivot with limited multi-year history.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pivot to pure-play heavy-equipment (crane) leasing captures India's infra 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+90% YoY, EBITDA +220% YoY, fleet utilisation at 100%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guiding ROCE toward 22-25%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of ~206 signal working-capital stress / customer concentration risk typical of project-based leasing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~0.97 - moderate leverage funding fleet purchases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~38.6x trailing already prices in much of the turnaround; small-cap with thin trading history in the new business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record as a pure-play lessor is only ~1 year old; sustainability of ~70% EBITDA margins across a full capex cycle is unproven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427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India infra capex cycle is a genuine tailwind; TAM/moat are weak given the single-segment, undifferentiated leasing model; valuation already reflects the story at ~38.6x trailing P/E. Score sits in the 2.0-2.5 default-neither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infra-capex-cycle crane-leasing pivot with explosive recent growth (FY26 revenue +90%, EBITDA +220%), but high debtor days and a P/E already near 39x keep this at 'neither' pending a longer track record.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India infra capex cycle driving heavy-equipment leasing demand; tam weak - single-segment crane leasing, scale still small; moat weak - capital-intensive but not differentiated/branded; valuation weak - ~38.6x trailing P/E already reflects the growth story). Score sits in the 2.0-2.5 band -&gt; defaults 'neither', no exception written given the 206-day debtor overhang and one-year track record post-pivot.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(no CIRP, no negative net worth, no SEBI action surfaced).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forum check skipped - not scored as genuinely promising enough to justify the search within batch budget.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2026-09-13T06:25:31.553Z</dcterms:created>
  <dcterms:modified xsi:type="dcterms:W3CDTF">2026-09-13T06:25:31.554Z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