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Vedanta Aluminium Metal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Confirmed as an independently listed large-cap (NSE: VAML, BSE: 544780) following Vedanta Ltd's May-June 2026 four-way demerger - India's largest aluminium/alumina producer with a named capacity-doubling plan, but currently posting negative TTM earnings against an extremely rich ~34x P/B.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Vedanta Aluminium Metal Ltd (VAML) is India's largest aluminium and alumina producer and the world's third-largest aluminium producer ex-China, operating the world's largest single-location aluminium smelter (Jharsuguda, Odisha). It began independent trading on NSE/BSE on 15 June 2026 after the demerger of Vedanta Ltd into four listed entities (Aluminium, Oil &amp; Gas, Power, Iron &amp; Steel), effective 1 May 2026. This resolves the state.json uncertainty: 'Vedanta Aluminium' is NOT merely an internal division - it is now a distinct, confirmed listed entity (VAML).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1,71,588 Cr (as of 7-Sep-2026) - large-cap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~0% - TTM earnings are negative post-listing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~34.1x - a very large premium to the peer median (~1.64x)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~-0.8 (unusual, reflecting the newly-carved-out post-demerger capital structure) with a flagged low interest-coverage ratio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 plan</w:t>
            </w:r>
          </w:p>
        </w:tc>
        <w:tc>
          <w:tcPr>
            <w:tcW w:type="dxa" w:w="5800"/>
          </w:tcPr>
          <w:p>
            <w:r>
              <w:t xml:space="preserve">Named structural inflection: smelting capacity targeted to double from ~3 MTPA to 6 MTPA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 history</w:t>
            </w:r>
          </w:p>
        </w:tc>
        <w:tc>
          <w:tcPr>
            <w:tcW w:type="dxa" w:w="5800"/>
          </w:tcPr>
          <w:p>
            <w:r>
              <w:t xml:space="preserve">Independently listed only since 15 June 2026 - limited standalone trading/financial history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VAML is unambiguously a scale leader - the world's largest single-location smelter and India's #1 aluminium/alumina producer - and it does carry a specific, named structural inflection (the 3 MTPA -&gt; 6 MTPA capacity doubling). But the numbers available this soon after the demerger are hard to read as an entry case: TTM earnings are negative (likely a mix of global aluminium-price cyclicality and finance costs from the debt allocated in the demerger), and the ~34x P/B is a steep premium to peers for a business with ~0% current ROE/ROCE. Some of this distortion is mechanical (a freshly carved-out equity base, thin post-listing history), but there is not enough here to call it undervalued.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trading history is only ~3 months old since the 15 June 2026 listing, so technical reads are not yet meaningful.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- large-cap fast path per the triage rules; state.json topic_id is null, and as a newly listed entity (June 2026) a long-running dedicated VP thread under this exact ticker is unlikely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governance red flags found (no SEBI action, no auditor resignation, no promoter-holding collapse) - the unusual balance-sheet ratios read as demerger-mechanics, not distress.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as the largest aluminium/alumina producer in India and the world's largest single-location smelter - genuine scale and cost-curve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Named, specific capacity-doubling plan (3 MTPA -&gt; 6 MTPA) is a real structural growth commitment, not vague aspiration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India/global demand tailwind for aluminium from EVs, renewables and infrastructure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earnings are negative and ROE/ROCE read as ~0% - no current profitability to anchor a valuation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of ~34.1x is a very large premium to the peer median (~1.64x) for a business with no current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interest-coverage ratio flagged - leverage risk in a capital-intensive, cyclical commodity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~3 months of independent trading history (listed 15 June 2026) - valuation ratios may still be distorted by demerger mechanics rather than reflecting steady-state economics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1,71,588 Cr) - confirmed independently listed since the May-June 2026 Vedanta four-way demerger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weak: generic global aluminium demand (EV/renewables/infra), no company-specific catalyst beyond scale. Tam weak: named capacity doubling (3-&gt;6 MTPA) is a real, specific commitment, but standard commodity capex rather than a differentiated inflection. Moat weak: world's largest single-location smelter gives cost-curve advantage. Valuation no: negative TTM earnings against a ~34x P/B premium to peers - no valuation support currently.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Confirmed as an independently listed large-cap aluminium major (VAML) with a genuine named capacity-doubling plan, but current negative earnings and an extremely rich ~34x P/B leave no valuation support for a fresh entry case.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resolved with high confidence: Vedanta Aluminium Metal Ltd (VAML), NSE/BSE listed 15 June 2026 post the Vedanta Ltd four-way demerger - not an unlisted subsidiary as the state.json caution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treatment applied (~Rs 1,71,588 Cr); a specific named inflection (3 MTPA -&gt; 6 MTPA capacity doubling) was found, so tam is scored 'weak' rather than a hard 'no', but this does not overcome the valuation/earnings picture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generic global aluminium demand; tam weak - named capacity doubling, but standard commodity capex, not a differentiated re-rating trigger; moat weak - scale/cost-curve position; valuation no - negative TTM earnings against ~34x P/B) -&gt; 'neither', no deep dive per the large-cap-no-strong-inflection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the unusual ratios (negative D/E, ~0% ROE/ROCE) read as demerger-related balance-sheet mechanics and commodity-cycle timing, not distress or governance concern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2026-09-16T02:51:48.575Z</dcterms:created>
  <dcterms:modified xsi:type="dcterms:W3CDTF">2026-09-16T02:51:48.575Z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