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Vedanta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metals/mining/oil-and-gas conglomerate (zinc, aluminium, oil &amp; gas, iron ore, power) with declining five-year revenue, holding-company leverage concerns, and no fresh named structural inflection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Vedanta Ltd (NSE/BSE: VEDL) is a diversified natural-resources conglomerate spanning zinc-lead-silver, aluminium, oil &amp; gas, iron ore, steel and power, majority-owned by London-listed Vedanta Resources. Seeded from an untrusted X mention (bullish, medium conviction, 2 sources). This is a mega-cap (~Rs 1.0 lakh Cr+ per one data point, market data varies by source) commodity-cycle story; no new named CEO/regulatory/capital-allocation inflection was identified this pass - the group's earlier multi-way demerger plan has not re-surfaced as an active near-term catalyst in this search.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~35.0%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~10.1%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</w:t>
            </w:r>
          </w:p>
        </w:tc>
        <w:tc>
          <w:tcPr>
            <w:tcW w:type="dxa" w:w="5800"/>
          </w:tcPr>
          <w:p>
            <w:r>
              <w:t xml:space="preserve">~Rs 78,437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~-2.3% (poor/declining)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(longer window)</w:t>
            </w:r>
          </w:p>
        </w:tc>
        <w:tc>
          <w:tcPr>
            <w:tcW w:type="dxa" w:w="5800"/>
          </w:tcPr>
          <w:p>
            <w:r>
              <w:t xml:space="preserve">~12.6%, in line with industry median ~12.9%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~0.65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264.55 - Rs 795.00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 headline ROE (~35%) sits alongside a much lower ROCE (~10.1%) and a five-year sales decline (~-2.3%), signaling that equity returns are leverage/one-off-assisted rather than pure operating strength. Debt/equity (~0.65) is coming down, a positive, but commodity-price sensitivity (zinc, aluminium, oil) and parent-level Vedanta Resources leverage remain known overhangs. No fresh structural inflection (new CEO, regulatory shift, capital-allocation regime change) surfaced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large-cap lane, no chart/TA review performed. 52-week range ~Rs 265-795 noted from search.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(large-cap, no inflection - fast lane per Step 6 rule). topic_id unresolved (null in state.json, not queried this pass).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red flags surfaced in this pass (no negative net worth, no active SEBI/fraud action, no promoter-holding collapse or auditor resignation found this pass). Parent-level Vedanta Resources leverage is a known, long-standing market concern but was not independently re-verified as an active red flag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across zinc, aluminium, oil &amp; gas and iron ore - multiple commodity-cycle exposures in one 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ROE (~35%) and declining debt/equity (~0.65)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over a longer window (~12.6%) roughly in line with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sales growth is negative (~-2.3%) - a poor recent operating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(~10.1%) much lower than ROE, suggesting leverage/one-offs are flattering equity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Conglomerate structure and parent (Vedanta Resources) leverage carry long-standing governance/refinancing-risk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Commodity-price dependent across all major segments - no structural moat beyond resource ownership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(large diversified miner)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Commodity-cycle tailwind is mixed given negative 5yr revenue growth; no named structural inflection (large-cap default); moat is resource-ownership based but commodity-price-taker; valuation unclear/mixed (high ROE but low ROCE).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Diversified mega-cap metals/mining conglomerate with declining five-year revenue and known parent-leverage overhang, no fresh named inflection this pass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with no specific NAMED management/regulatory/capital-allocation inflection found in this one-search pass - default large-cap rule applies (tam: 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 (AVOID/EXCLUDE/HIGH CAUTION criteria); fast ~140-word write-up per Step 6,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five-year revenue growth and ROCE well below ROE cap conviction at Low despite headline ROE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2026-09-13T11:10:09.304Z</dcterms:created>
  <dcterms:modified xsi:type="dcterms:W3CDTF">2026-09-13T11:10:09.305Z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