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Vodafone Idea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third telecom operator with confirmed negative net worth (book value ~-Rs 15/share) and a debt-to-EBITDA of ~13.5x despite FY26 AGR relief and an accounting-driven headline profit - a legitimate AVOID red flag, not a fabricated one.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Negative net worth (book value ~-Rs 15.03/share, accumulated losses &gt;Rs 1.78 lakh Cr); debt-to-EBITDA ~13.5x; interest coverage ~0.54x (operating profit covers only ~54% of interest). FY26 headline profit driven by a one-off non-cash AGR remeasurement gain, not operating profitability.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Pan-India mobile telecom operator (Vodafone Idea / 'Vi'). FY26 AGR liability was finalized by DoT at Rs 64,046 Cr, down from a much larger provisional figure, producing a large one-off accounting gain (Ind AS 109 remeasurement, ~Rs 55,622 Cr) and a headline FY26 net profit of ~Rs 34,482 Cr - but this is a non-cash exceptional item, not operating cash generation. Seeded via untrusted X triage (@mystockedge,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1,59,914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 / book value</w:t>
            </w:r>
          </w:p>
        </w:tc>
        <w:tc>
          <w:tcPr>
            <w:tcW w:type="dxa" w:w="5800"/>
          </w:tcPr>
          <w:p>
            <w:r>
              <w:t xml:space="preserve">Negative - book value ~-Rs 15.03/share; accumulated losses exceeding ~Rs 1.78 lakh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Debt-to-EBITDA</w:t>
            </w:r>
          </w:p>
        </w:tc>
        <w:tc>
          <w:tcPr>
            <w:tcW w:type="dxa" w:w="5800"/>
          </w:tcPr>
          <w:p>
            <w:r>
              <w:t xml:space="preserve">~13.51x - alarmingly high for a capital-intensive telecom operator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~0.54x average recent periods - operating profit covers only ~54% of interest obligations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EBITDA</w:t>
            </w:r>
          </w:p>
        </w:tc>
        <w:tc>
          <w:tcPr>
            <w:tcW w:type="dxa" w:w="5800"/>
          </w:tcPr>
          <w:p>
            <w:r>
              <w:t xml:space="preserve">Revenue ~Rs 44,782 Cr (+2.8% YoY); EBITDA ~Rs 19,003 Cr, margin ~43.1%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Bank debt</w:t>
            </w:r>
          </w:p>
        </w:tc>
        <w:tc>
          <w:tcPr>
            <w:tcW w:type="dxa" w:w="5800"/>
          </w:tcPr>
          <w:p>
            <w:r>
              <w:t xml:space="preserve">Reduced to ~Rs 726 Cr (from ~Rs 2,326 Cr) as of 31 March 2026 - promoter/govt-backed refinancing, not organic deleveraging of the full liability stack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AGR relief (liability finalized at Rs 64,046 Cr) and fresh promoter-led capital infusion are genuine positives that triggered the recent rally and 52-week-high price action, but they do not resolve the core balance-sheet problem: net worth remains negative (book value ~-Rs 15/share), overall debt-to-EBITDA is ~13.5x, and interest coverage of ~0.54x means operating profit still does not cover interest obligations. The FY26 'net profit' of Rs 34,482 Cr is dominated by a one-off non-cash AGR remeasurement gain, not sustainable operating profitability.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Recently hit a 52-week high (~Rs 13.64) on AGR-relief and funding optimism - price momentum reflects sentiment/relief-rally dynamics, not underlying balance-sheet health.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this pass - red flag (AVOID) per project rule; Step 4 forum deep-dive skipped.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AVOID. Negative net worth (book value ~-Rs 15.03/share); debt-to-EBITDA ~13.5x; interest coverage ~0.54x. AGR liability finalized at Rs 64,046 Cr (relief vs prior provisional figure) and fresh promoter capital infusion are real positives but do not resolve the negative-net-worth / going-concern-adjacent profile - this is a genuine, current-data-based red flag, not an inferred one from a dramatic-sounding corporate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 liability finalized at Rs 64,046 Cr - meaningful relief from the prior provisional figure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promoter-led capital infusion and bank-debt reduction (Rs 2,326 Cr -&gt; Rs 726 Cr) improve near-term liquidity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improving (43.1% FY26 vs 41.6% FY25) on tariff hikes and subscriber-mix stabilization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worth remains negative - book value ~-Rs 15.03/share, accumulated losses over Rs 1.78 lakh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Debt-to-EBITDA ~13.5x - would take over 13 years of current EBITDA to repay existing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Interest coverage ~0.54x - operating profit does not cover interest obligations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headline profit is dominated by a one-off non-cash AGR accounting gain, not operating cash generation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1,59,914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Confirmed negative net worth (book value ~-Rs 15/share) and ~13.5x debt-to-EBITDA despite AGR relief and a promoter capital infusion - a legitimate AVOID red flag based on current, verified figures.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negative net worth (book value ~-Rs 15.03/share) confirmed via current FY26 data, plus debt-to-EBITDA ~13.5x and interest coverage ~0.54x - a real, verified distress profile, not inferred from a dramatic corporate-action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 skipped per the red-flag rule; four_box exercise skipped (red flag).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 relief (liability finalized at Rs 64,046 Cr) and promoter capital infusion are genuine positives driving the current rally, but they are relief from a worse position, not resolution of the underlying negative-net-worth / high-leverage profile.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2026-09-16T02:50:05.065Z</dcterms:created>
  <dcterms:modified xsi:type="dcterms:W3CDTF">2026-09-16T02:50:05.065Z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