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D724" w14:textId="77777777" w:rsidR="00AB1B4B" w:rsidRDefault="00AB1B4B">
      <w:r>
        <w:t xml:space="preserve">Simply put I want to build the modern female version of Playboy. When Hugh Hefner started Playboy in the fifties it wasn’t just about the nudity, but about the freedom to live a life unencumbered by the traditional morality that restricted his generation. Sex and sexual freedom </w:t>
      </w:r>
      <w:proofErr w:type="gramStart"/>
      <w:r>
        <w:t>is</w:t>
      </w:r>
      <w:proofErr w:type="gramEnd"/>
      <w:r>
        <w:t xml:space="preserve"> an indispensable part of life. I estimate that there are approximately 75 million women in the United States between 18 and 44. Eight percent </w:t>
      </w:r>
      <w:proofErr w:type="spellStart"/>
      <w:r>
        <w:t>self report</w:t>
      </w:r>
      <w:proofErr w:type="spellEnd"/>
      <w:r>
        <w:t xml:space="preserve"> as regular consumers of pornography, so that means 6 million women candidly admit to using pornography. What I want to produce for them isn’t necessarily porn. Pornography is a dying industry – it isn’t </w:t>
      </w:r>
      <w:proofErr w:type="gramStart"/>
      <w:r>
        <w:t>dead</w:t>
      </w:r>
      <w:proofErr w:type="gramEnd"/>
      <w:r>
        <w:t xml:space="preserve"> and it won’t ever completely die, but it is gradually becoming more and more difficult to sell pornography. </w:t>
      </w:r>
      <w:r w:rsidR="00CB6463">
        <w:t>However, I think much of the problem is that the overwhelming majority of what is produced favors the male perspective – the male gaze. What if the entire industry</w:t>
      </w:r>
      <w:bookmarkStart w:id="0" w:name="_GoBack"/>
      <w:bookmarkEnd w:id="0"/>
    </w:p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AB1B4B"/>
    <w:rsid w:val="00C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4" ma:contentTypeDescription="Create a new document." ma:contentTypeScope="" ma:versionID="6a222f19fc3cd57bef43da1fcac3ba51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161b37f1ce39ff7bd96cd8bb4a099e8e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81E7D-D7D3-4E59-A5E9-D288FF2C1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f3564-5582-4a15-b0ac-06bcfce29c67"/>
    <ds:schemaRef ds:uri="dc9238e7-c6c7-4063-991f-0ce1be918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6572D-78EE-4D88-9C6D-BE8A665ACAF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58f3564-5582-4a15-b0ac-06bcfce29c67"/>
    <ds:schemaRef ds:uri="http://purl.org/dc/dcmitype/"/>
    <ds:schemaRef ds:uri="http://schemas.microsoft.com/office/infopath/2007/PartnerControls"/>
    <ds:schemaRef ds:uri="dc9238e7-c6c7-4063-991f-0ce1be91812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1</cp:revision>
  <dcterms:created xsi:type="dcterms:W3CDTF">2019-07-19T23:19:00Z</dcterms:created>
  <dcterms:modified xsi:type="dcterms:W3CDTF">2019-07-20T12:01:00Z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