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46"/>
          <w:szCs w:val="46"/>
        </w:rPr>
      </w:pPr>
      <w:bookmarkStart w:colFirst="0" w:colLast="0" w:name="_5uzh792930ko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46"/>
          <w:szCs w:val="46"/>
          <w:rtl w:val="0"/>
        </w:rPr>
        <w:t xml:space="preserve">Elements Layout Measurement Feature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bhcwddv0zl2q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Elements Layout Measurement feature evaluates the visual arrangement of elements on a webpage. By analyzing icons, menus, images, and overall user interface (UI), it provides valuable insights. Here’s why it’s essential: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User Experience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Well-organized layouts enhance usability.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Visual Hierarchy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Proper arrangement guides users’ attention.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Brand Consistency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Ensures a cohesive UI across pages.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qqhbjnhwthe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2. Feature Overview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What It Measures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Icons and Menus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Position, clarity, and consistency.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High-Quality Images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Relevance, placement, and impact.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UI Improvements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Reactivity, responsiveness, and user-friendly features.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j2syhasl09vl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3. How It Works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URL Input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Provide the webpage URL for analysis.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Element Assessment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Evaluate icons, menus, and images.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Check alignment, spacing, and visual appeal.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UI Level Report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Generate charts showing layout quality.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Explain findings and recommendations.</w:t>
      </w:r>
    </w:p>
    <w:p w:rsidR="00000000" w:rsidDel="00000000" w:rsidP="00000000" w:rsidRDefault="00000000" w:rsidRPr="00000000" w14:paraId="00000015">
      <w:pPr>
        <w:pStyle w:val="Heading2"/>
        <w:rPr>
          <w:b w:val="1"/>
          <w:sz w:val="34"/>
          <w:szCs w:val="34"/>
        </w:rPr>
      </w:pPr>
      <w:bookmarkStart w:colFirst="0" w:colLast="0" w:name="_sp64hgxdxa5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Work Distribution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Timeline: 2 Weeks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Backend &amp; Algorithm : Animesh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Frontend : Vidya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Detailing &amp; Designing : Ankita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ng573t9ab412" w:id="5"/>
      <w:bookmarkEnd w:id="5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5. Technical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syldfwmpvfm9" w:id="6"/>
      <w:bookmarkEnd w:id="6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6. References and Resources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 Layout Best Practices – 12 Timeless UI Patterns | Toptal®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Different layout style available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fundamentals of website layout - 99designs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Goal, effectiveness and different types of layouts and how to implement them.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Breaking Down Web Design: A Beginner's Guide to Website Layouts (commoninja.com)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Importance of layout and how to apply?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ptal.com/designers/ui/web-layout-best-practices" TargetMode="External"/><Relationship Id="rId7" Type="http://schemas.openxmlformats.org/officeDocument/2006/relationships/hyperlink" Target="https://99designs.com/blog/web-digital/website-layout-fundamentals/" TargetMode="External"/><Relationship Id="rId8" Type="http://schemas.openxmlformats.org/officeDocument/2006/relationships/hyperlink" Target="https://www.commoninja.com/blog/guide-to-website-layouts#Understanding-the-Basics-of-Website-Layou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