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F4E79"/>
          <w:sz w:val="32"/>
        </w:rPr>
        <w:t>BITS PILANI</w:t>
      </w:r>
    </w:p>
    <w:p>
      <w:pPr>
        <w:spacing w:before="700"/>
        <w:jc w:val="center"/>
      </w:pPr>
      <w:r>
        <w:rPr>
          <w:b/>
          <w:color w:val="1F4E79"/>
          <w:sz w:val="46"/>
        </w:rPr>
        <w:t>CI/CD AND PRODUCTION DEPLOYMENT</w:t>
        <w:br/>
        <w:t>EXPERIMENTAL LEARNING</w:t>
      </w:r>
    </w:p>
    <w:p>
      <w:pPr>
        <w:spacing w:before="440"/>
        <w:jc w:val="center"/>
      </w:pPr>
      <w:r>
        <w:rPr>
          <w:i/>
          <w:sz w:val="30"/>
        </w:rPr>
        <w:t>End-to-End MLOps Pipeline for Heart Disease Classification</w:t>
      </w:r>
    </w:p>
    <w:p>
      <w:pPr>
        <w:spacing w:before="760"/>
        <w:jc w:val="center"/>
      </w:pPr>
      <w:r>
        <w:rPr>
          <w:b/>
        </w:rPr>
        <w:t>Assignment Report</w:t>
      </w:r>
    </w:p>
    <w:p>
      <w:pPr>
        <w:jc w:val="center"/>
      </w:pPr>
      <w:r>
        <w:t>Student Name: [Enter name]</w:t>
      </w:r>
    </w:p>
    <w:p>
      <w:pPr>
        <w:jc w:val="center"/>
      </w:pPr>
      <w:r>
        <w:t>Student ID: [Enter ID]</w:t>
      </w:r>
    </w:p>
    <w:p>
      <w:pPr>
        <w:jc w:val="center"/>
      </w:pPr>
      <w:r>
        <w:t>Programme / Course: [Enter course]</w:t>
      </w:r>
    </w:p>
    <w:p>
      <w:pPr>
        <w:jc w:val="center"/>
      </w:pPr>
      <w:r>
        <w:t>Submission Date: [Enter date]</w:t>
      </w:r>
    </w:p>
    <w:p>
      <w:pPr>
        <w:spacing w:before="700"/>
        <w:jc w:val="center"/>
      </w:pPr>
      <w:r>
        <w:rPr>
          <w:b/>
        </w:rPr>
        <w:t>GitHub repository</w:t>
        <w:br/>
      </w:r>
      <w:r>
        <w:t>https://github.com/vidyabhushan-bitspilani/heart-disease-mlops-2025ae05438</w:t>
      </w:r>
    </w:p>
    <w:p>
      <w:pPr>
        <w:jc w:val="center"/>
      </w:pPr>
      <w:r>
        <w:rPr>
          <w:i/>
        </w:rPr>
        <w:t>Educational demonstration only — not a medical diagnostic system.</w:t>
      </w:r>
    </w:p>
    <w:p>
      <w:r>
        <w:br w:type="page"/>
      </w:r>
    </w:p>
    <w:p>
      <w:pPr>
        <w:pStyle w:val="Heading1"/>
      </w:pPr>
      <w:r>
        <w:t>1. Executive Summary</w:t>
      </w:r>
    </w:p>
    <w:p>
      <w:r>
        <w:t>This project implements an end-to-end machine learning operations (MLOps) workflow for binary classification using the Cleveland Heart Disease dataset from the UCI Machine Learning Repository. It combines dataset acquisition, exploratory data analysis (EDA), feature preprocessing, model comparison, MLflow experiment tracking, automated tests, CI/CD, Docker packaging, Kubernetes deployment, and application monitoring.</w:t>
      </w:r>
    </w:p>
    <w:p>
      <w:r>
        <w:t>The model is served through a FastAPI REST API. The application loads a serialized scikit-learn pipeline and provides health, prediction, and Prometheus-compatible metrics endpoints. The health endpoint can be used by Kubernetes probes; the prediction endpoint accepts JSON inputs and returns a binary prediction, estimated probability, model filename, and educational-use disclaimer.</w:t>
      </w:r>
    </w:p>
    <w:p>
      <w:r>
        <w:t>Two classifiers are compared: Logistic Regression and Random Forest. In the recorded run, Logistic Regression achieved ROC-AUC of approximately 0.9665 and was selected because the training script ranks models by ROC-AUC. Random Forest achieved higher accuracy, recall, and F1 score in that run. This illustrates the importance of defining the evaluation criterion before selecting a model.</w:t>
      </w:r>
    </w:p>
    <w:p>
      <w:pPr>
        <w:pStyle w:val="Heading2"/>
      </w:pPr>
      <w:r>
        <w:t>Main deliverables</w:t>
      </w:r>
    </w:p>
    <w:p>
      <w:pPr>
        <w:pStyle w:val="ListBullet"/>
        <w:spacing w:after="20"/>
      </w:pPr>
      <w:r>
        <w:t>EDA script and generated data-quality reports and plots.</w:t>
      </w:r>
    </w:p>
    <w:p>
      <w:pPr>
        <w:pStyle w:val="ListBullet"/>
        <w:spacing w:after="20"/>
      </w:pPr>
      <w:r>
        <w:t>Reusable preprocessing/model pipeline and serialized model artifact.</w:t>
      </w:r>
    </w:p>
    <w:p>
      <w:pPr>
        <w:pStyle w:val="ListBullet"/>
        <w:spacing w:after="20"/>
      </w:pPr>
      <w:r>
        <w:t>MLflow tracking of model parameters, metrics, and artifacts.</w:t>
      </w:r>
    </w:p>
    <w:p>
      <w:pPr>
        <w:pStyle w:val="ListBullet"/>
        <w:spacing w:after="20"/>
      </w:pPr>
      <w:r>
        <w:t>FastAPI service and automated API tests.</w:t>
      </w:r>
    </w:p>
    <w:p>
      <w:pPr>
        <w:pStyle w:val="ListBullet"/>
        <w:spacing w:after="20"/>
      </w:pPr>
      <w:r>
        <w:t>GitHub Actions workflow to test code and publish Docker images.</w:t>
      </w:r>
    </w:p>
    <w:p>
      <w:pPr>
        <w:pStyle w:val="ListBullet"/>
        <w:spacing w:after="20"/>
      </w:pPr>
      <w:r>
        <w:t>Kubernetes manifests, request logging, and Prometheus-formatted metrics.</w:t>
      </w:r>
    </w:p>
    <w:p>
      <w:r>
        <w:t>The repository includes the application source, tests, workflow, Dockerfile, model artifact, and Kubernetes manifests. The API was deployed to a local Minikube cluster with two replicas and an Ingress route. The deployment is local, not a permanently hosted public cloud service.</w:t>
      </w:r>
    </w:p>
    <w:p>
      <w:r>
        <w:t>Scope warning: the dataset is small, the current model-selection method uses held-out test ROC-AUC, and the model is not clinically validated. It must not be used for diagnosis or treatment decisions.</w:t>
      </w:r>
    </w:p>
    <w:p>
      <w:r>
        <w:br w:type="page"/>
      </w:r>
    </w:p>
    <w:p>
      <w:pPr>
        <w:pStyle w:val="Heading1"/>
      </w:pPr>
      <w:r>
        <w:t>2. Dataset Acquisition and EDA</w:t>
      </w:r>
    </w:p>
    <w:p>
      <w:pPr>
        <w:pStyle w:val="Heading2"/>
      </w:pPr>
      <w:r>
        <w:t>2.1 Dataset and target</w:t>
      </w:r>
    </w:p>
    <w:p>
      <w:r>
        <w:t>The project uses the processed Cleveland subset of the UCI Heart Disease dataset. Source: https://archive.ics.uci.edu/dataset/45/heart+disease. The local file is data/processed.cleveland.data. It contains 303 records and 13 input features. The original target is transformed into a binary label: target = 1 when the original disease value is greater than zero; otherwise target = 0.</w:t>
      </w:r>
    </w:p>
    <w:p>
      <w:r>
        <w:t>The dataset contains missing-value markers represented as '?'. Such markers must be treated as missing data rather than valid numeric values. The training pipeline imputes missing feature values within the preprocessing pipeline.</w:t>
      </w:r>
    </w:p>
    <w:p>
      <w:pPr>
        <w:pStyle w:val="Heading2"/>
      </w:pPr>
      <w:r>
        <w:t>2.2 EDA process and outputs</w:t>
      </w:r>
    </w:p>
    <w:p>
      <w:r>
        <w:t>The script src/eda.py generates summary statistics, missing-value counts, class distribution, and visualizations. Its outputs include reports/eda_summary.csv, reports/missing_values.csv, reports/class_distribution.csv, reports/target_distribution.png, and reports/age_distribution.png. These files document the initial data inspection and can be recreated by rerunning the script.</w:t>
      </w:r>
    </w:p>
    <w:p>
      <w:pPr>
        <w:pStyle w:val="Heading2"/>
      </w:pPr>
      <w:r>
        <w:t>2.3 Reproduction steps</w:t>
      </w:r>
    </w:p>
    <w:p>
      <w:pPr>
        <w:pStyle w:val="ListNumber"/>
        <w:spacing w:after="20"/>
      </w:pPr>
      <w:r>
        <w:t>Clone the repository and change to the project directory.</w:t>
      </w:r>
    </w:p>
    <w:p>
      <w:pPr>
        <w:pStyle w:val="ListNumber"/>
        <w:spacing w:after="20"/>
      </w:pPr>
      <w:r>
        <w:t>Verify data/processed.cleveland.data exists.</w:t>
      </w:r>
    </w:p>
    <w:p>
      <w:pPr>
        <w:pStyle w:val="ListNumber"/>
        <w:spacing w:after="20"/>
      </w:pPr>
      <w:r>
        <w:t>Install dependencies from requirements.txt in a Python environment.</w:t>
      </w:r>
    </w:p>
    <w:p>
      <w:pPr>
        <w:pStyle w:val="ListNumber"/>
        <w:spacing w:after="20"/>
      </w:pPr>
      <w:r>
        <w:t>Run python src/eda.py and inspect the generated reports/ files.</w:t>
      </w:r>
    </w:p>
    <w:p>
      <w:r>
        <w:t>The final submission should describe the class balance and missingness using the actual generated reports. Do not infer counts that are not supported by those files.</w:t>
      </w:r>
    </w:p>
    <w:tbl>
      <w:tblPr>
        <w:tblStyle w:val="TableGrid"/>
        <w:tblW w:type="auto" w:w="0"/>
        <w:tblLook w:firstColumn="1" w:firstRow="1" w:lastColumn="0" w:lastRow="0" w:noHBand="0" w:noVBand="1" w:val="04A0"/>
      </w:tblPr>
      <w:tblGrid>
        <w:gridCol w:w="10080"/>
      </w:tblGrid>
      <w:tr>
        <w:trPr>
          <w:cantSplit/>
        </w:trPr>
        <w:tc>
          <w:tcPr>
            <w:tcW w:type="dxa" w:w="10080"/>
          </w:tcPr>
          <w:p>
            <w:pPr>
              <w:jc w:val="center"/>
            </w:pPr>
            <w:r>
              <w:rPr>
                <w:i/>
                <w:color w:val="646464"/>
                <w:sz w:val="16"/>
              </w:rPr>
              <w:t>[SCREENSHOT PLACEHOLDER: EDA outputs and missing-value summary]</w:t>
              <w:br/>
              <w:t>Replace this box with a genuine screenshot from the project environment.</w:t>
            </w:r>
          </w:p>
        </w:tc>
      </w:tr>
    </w:tbl>
    <w:p>
      <w:r>
        <w:br w:type="page"/>
      </w:r>
    </w:p>
    <w:p>
      <w:pPr>
        <w:pStyle w:val="Heading1"/>
      </w:pPr>
      <w:r>
        <w:t>3. Feature Engineering and Model Development</w:t>
      </w:r>
    </w:p>
    <w:p>
      <w:pPr>
        <w:pStyle w:val="Heading2"/>
      </w:pPr>
      <w:r>
        <w:t>3.1 Feature preprocessing</w:t>
      </w:r>
    </w:p>
    <w:p>
      <w:r>
        <w:t>Numeric features are age, trestbps, chol, thalach, and oldpeak. They use median imputation followed by standard scaling. Categorical features are sex, cp, fbs, restecg, exang, slope, ca, and thal. They use most-frequent-value imputation followed by one-hot encoding.</w:t>
      </w:r>
    </w:p>
    <w:p>
      <w:r>
        <w:t>Preprocessing is bundled with the classifier in a scikit-learn pipeline. This ensures the same transformations are applied during training and inference. The selected pipeline is saved to models/heart_model.joblib; models/feature_schema.txt documents the expected feature schema.</w:t>
      </w:r>
    </w:p>
    <w:p>
      <w:pPr>
        <w:pStyle w:val="Heading2"/>
      </w:pPr>
      <w:r>
        <w:t>3.2 Training and evaluation</w:t>
      </w:r>
    </w:p>
    <w:p>
      <w:r>
        <w:t>The training script src/train.py uses an 80:20 train/test split with random_state=42 and stratification. It compares Logistic Regression and Random Forest using accuracy, precision, recall, F1 score, and ROC-AUC. The model comparison is written to reports/model_comparison.csv.</w:t>
      </w:r>
    </w:p>
    <w:tbl>
      <w:tblPr>
        <w:tblStyle w:val="LightShading-Accent1"/>
        <w:tblW w:type="auto" w:w="0"/>
        <w:jc w:val="center"/>
        <w:tblLook w:firstColumn="1" w:firstRow="1" w:lastColumn="0" w:lastRow="0" w:noHBand="0" w:noVBand="1" w:val="04A0"/>
      </w:tblPr>
      <w:tblGrid>
        <w:gridCol w:w="3360"/>
        <w:gridCol w:w="3360"/>
        <w:gridCol w:w="3360"/>
      </w:tblGrid>
      <w:tr>
        <w:trPr>
          <w:cantSplit/>
        </w:trPr>
        <w:tc>
          <w:tcPr>
            <w:tcW w:type="dxa" w:w="3360"/>
          </w:tcPr>
          <w:p>
            <w:r>
              <w:rPr>
                <w:b/>
                <w:sz w:val="16"/>
              </w:rPr>
              <w:t>Metric</w:t>
            </w:r>
          </w:p>
        </w:tc>
        <w:tc>
          <w:tcPr>
            <w:tcW w:type="dxa" w:w="3360"/>
          </w:tcPr>
          <w:p>
            <w:r>
              <w:rPr>
                <w:b/>
                <w:sz w:val="16"/>
              </w:rPr>
              <w:t>Logistic Regression</w:t>
            </w:r>
          </w:p>
        </w:tc>
        <w:tc>
          <w:tcPr>
            <w:tcW w:type="dxa" w:w="3360"/>
          </w:tcPr>
          <w:p>
            <w:r>
              <w:rPr>
                <w:b/>
                <w:sz w:val="16"/>
              </w:rPr>
              <w:t>Random Forest</w:t>
            </w:r>
          </w:p>
        </w:tc>
      </w:tr>
      <w:tr>
        <w:trPr>
          <w:cantSplit/>
        </w:trPr>
        <w:tc>
          <w:tcPr>
            <w:tcW w:type="dxa" w:w="3360"/>
          </w:tcPr>
          <w:p>
            <w:pPr>
              <w:spacing w:after="0"/>
            </w:pPr>
            <w:r>
              <w:rPr>
                <w:sz w:val="16"/>
              </w:rPr>
              <w:t>Accuracy</w:t>
            </w:r>
          </w:p>
        </w:tc>
        <w:tc>
          <w:tcPr>
            <w:tcW w:type="dxa" w:w="3360"/>
          </w:tcPr>
          <w:p>
            <w:pPr>
              <w:spacing w:after="0"/>
            </w:pPr>
            <w:r>
              <w:rPr>
                <w:sz w:val="16"/>
              </w:rPr>
              <w:t>0.8852</w:t>
            </w:r>
          </w:p>
        </w:tc>
        <w:tc>
          <w:tcPr>
            <w:tcW w:type="dxa" w:w="3360"/>
          </w:tcPr>
          <w:p>
            <w:pPr>
              <w:spacing w:after="0"/>
            </w:pPr>
            <w:r>
              <w:rPr>
                <w:sz w:val="16"/>
              </w:rPr>
              <w:t>0.9016</w:t>
            </w:r>
          </w:p>
        </w:tc>
      </w:tr>
      <w:tr>
        <w:trPr>
          <w:cantSplit/>
        </w:trPr>
        <w:tc>
          <w:tcPr>
            <w:tcW w:type="dxa" w:w="3360"/>
          </w:tcPr>
          <w:p>
            <w:pPr>
              <w:spacing w:after="0"/>
            </w:pPr>
            <w:r>
              <w:rPr>
                <w:sz w:val="16"/>
              </w:rPr>
              <w:t>Precision</w:t>
            </w:r>
          </w:p>
        </w:tc>
        <w:tc>
          <w:tcPr>
            <w:tcW w:type="dxa" w:w="3360"/>
          </w:tcPr>
          <w:p>
            <w:pPr>
              <w:spacing w:after="0"/>
            </w:pPr>
            <w:r>
              <w:rPr>
                <w:sz w:val="16"/>
              </w:rPr>
              <w:t>0.8387</w:t>
            </w:r>
          </w:p>
        </w:tc>
        <w:tc>
          <w:tcPr>
            <w:tcW w:type="dxa" w:w="3360"/>
          </w:tcPr>
          <w:p>
            <w:pPr>
              <w:spacing w:after="0"/>
            </w:pPr>
            <w:r>
              <w:rPr>
                <w:sz w:val="16"/>
              </w:rPr>
              <w:t>0.8438</w:t>
            </w:r>
          </w:p>
        </w:tc>
      </w:tr>
      <w:tr>
        <w:trPr>
          <w:cantSplit/>
        </w:trPr>
        <w:tc>
          <w:tcPr>
            <w:tcW w:type="dxa" w:w="3360"/>
          </w:tcPr>
          <w:p>
            <w:pPr>
              <w:spacing w:after="0"/>
            </w:pPr>
            <w:r>
              <w:rPr>
                <w:sz w:val="16"/>
              </w:rPr>
              <w:t>Recall</w:t>
            </w:r>
          </w:p>
        </w:tc>
        <w:tc>
          <w:tcPr>
            <w:tcW w:type="dxa" w:w="3360"/>
          </w:tcPr>
          <w:p>
            <w:pPr>
              <w:spacing w:after="0"/>
            </w:pPr>
            <w:r>
              <w:rPr>
                <w:sz w:val="16"/>
              </w:rPr>
              <w:t>0.9286</w:t>
            </w:r>
          </w:p>
        </w:tc>
        <w:tc>
          <w:tcPr>
            <w:tcW w:type="dxa" w:w="3360"/>
          </w:tcPr>
          <w:p>
            <w:pPr>
              <w:spacing w:after="0"/>
            </w:pPr>
            <w:r>
              <w:rPr>
                <w:sz w:val="16"/>
              </w:rPr>
              <w:t>0.9643</w:t>
            </w:r>
          </w:p>
        </w:tc>
      </w:tr>
      <w:tr>
        <w:trPr>
          <w:cantSplit/>
        </w:trPr>
        <w:tc>
          <w:tcPr>
            <w:tcW w:type="dxa" w:w="3360"/>
          </w:tcPr>
          <w:p>
            <w:pPr>
              <w:spacing w:after="0"/>
            </w:pPr>
            <w:r>
              <w:rPr>
                <w:sz w:val="16"/>
              </w:rPr>
              <w:t>F1 score</w:t>
            </w:r>
          </w:p>
        </w:tc>
        <w:tc>
          <w:tcPr>
            <w:tcW w:type="dxa" w:w="3360"/>
          </w:tcPr>
          <w:p>
            <w:pPr>
              <w:spacing w:after="0"/>
            </w:pPr>
            <w:r>
              <w:rPr>
                <w:sz w:val="16"/>
              </w:rPr>
              <w:t>0.8814</w:t>
            </w:r>
          </w:p>
        </w:tc>
        <w:tc>
          <w:tcPr>
            <w:tcW w:type="dxa" w:w="3360"/>
          </w:tcPr>
          <w:p>
            <w:pPr>
              <w:spacing w:after="0"/>
            </w:pPr>
            <w:r>
              <w:rPr>
                <w:sz w:val="16"/>
              </w:rPr>
              <w:t>0.9000</w:t>
            </w:r>
          </w:p>
        </w:tc>
      </w:tr>
      <w:tr>
        <w:trPr>
          <w:cantSplit/>
        </w:trPr>
        <w:tc>
          <w:tcPr>
            <w:tcW w:type="dxa" w:w="3360"/>
          </w:tcPr>
          <w:p>
            <w:pPr>
              <w:spacing w:after="0"/>
            </w:pPr>
            <w:r>
              <w:rPr>
                <w:sz w:val="16"/>
              </w:rPr>
              <w:t>ROC-AUC</w:t>
            </w:r>
          </w:p>
        </w:tc>
        <w:tc>
          <w:tcPr>
            <w:tcW w:type="dxa" w:w="3360"/>
          </w:tcPr>
          <w:p>
            <w:pPr>
              <w:spacing w:after="0"/>
            </w:pPr>
            <w:r>
              <w:rPr>
                <w:sz w:val="16"/>
              </w:rPr>
              <w:t>0.9665</w:t>
            </w:r>
          </w:p>
        </w:tc>
        <w:tc>
          <w:tcPr>
            <w:tcW w:type="dxa" w:w="3360"/>
          </w:tcPr>
          <w:p>
            <w:pPr>
              <w:spacing w:after="0"/>
            </w:pPr>
            <w:r>
              <w:rPr>
                <w:sz w:val="16"/>
              </w:rPr>
              <w:t>0.9502</w:t>
            </w:r>
          </w:p>
        </w:tc>
      </w:tr>
    </w:tbl>
    <w:p/>
    <w:p>
      <w:r>
        <w:t>These values are from a previously recorded run; verify them against the current model_comparison.csv before submission. Logistic Regression was selected because it had higher ROC-AUC, while Random Forest had higher accuracy, recall, and F1 in this run.</w:t>
      </w:r>
    </w:p>
    <w:p>
      <w:pPr>
        <w:pStyle w:val="Heading2"/>
      </w:pPr>
      <w:r>
        <w:t>3.3 Evaluation limitation</w:t>
      </w:r>
    </w:p>
    <w:p>
      <w:r>
        <w:t>The script uses held-out test ROC-AUC to choose the model. Consequently, the test set influences model selection and is not a fully untouched final evaluation set. A stronger approach would use cross-validation or a validation set for model selection, followed by one final evaluation on an untouched test set.</w:t>
      </w:r>
    </w:p>
    <w:tbl>
      <w:tblPr>
        <w:tblStyle w:val="TableGrid"/>
        <w:tblW w:type="auto" w:w="0"/>
        <w:tblLook w:firstColumn="1" w:firstRow="1" w:lastColumn="0" w:lastRow="0" w:noHBand="0" w:noVBand="1" w:val="04A0"/>
      </w:tblPr>
      <w:tblGrid>
        <w:gridCol w:w="10080"/>
      </w:tblGrid>
      <w:tr>
        <w:trPr>
          <w:cantSplit/>
        </w:trPr>
        <w:tc>
          <w:tcPr>
            <w:tcW w:type="dxa" w:w="10080"/>
          </w:tcPr>
          <w:p>
            <w:pPr>
              <w:jc w:val="center"/>
            </w:pPr>
            <w:r>
              <w:rPr>
                <w:i/>
                <w:color w:val="646464"/>
                <w:sz w:val="16"/>
              </w:rPr>
              <w:t>[SCREENSHOT PLACEHOLDER: Model comparison report]</w:t>
              <w:br/>
              <w:t>Replace this box with a genuine screenshot from the project environment.</w:t>
            </w:r>
          </w:p>
        </w:tc>
      </w:tr>
    </w:tbl>
    <w:p>
      <w:r>
        <w:br w:type="page"/>
      </w:r>
    </w:p>
    <w:p>
      <w:pPr>
        <w:pStyle w:val="Heading1"/>
      </w:pPr>
      <w:r>
        <w:t>4. MLflow Tracking and Reproducibility</w:t>
      </w:r>
    </w:p>
    <w:p>
      <w:pPr>
        <w:pStyle w:val="Heading2"/>
      </w:pPr>
      <w:r>
        <w:t>4.1 Experiment tracking</w:t>
      </w:r>
    </w:p>
    <w:p>
      <w:r>
        <w:t>MLflow records model-training experiments, including parameters, evaluation metrics, and model artifacts. The local tracking backend is SQLite, with the database named mlflow.db. To generate or update records, run python src/train.py.</w:t>
      </w:r>
    </w:p>
    <w:p>
      <w:r>
        <w:t>Launch the tracking interface with: mlflow ui --backend-store-uri sqlite:///mlflow.db --host 127.0.0.1 --port 5000. Open http://127.0.0.1:5000 in a browser to inspect runs. The tracking database is generated local state and is excluded from Git; a new environment can recreate it by rerunning training.</w:t>
      </w:r>
    </w:p>
    <w:p>
      <w:pPr>
        <w:pStyle w:val="Heading2"/>
      </w:pPr>
      <w:r>
        <w:t>4.2 Reproducibility measures</w:t>
      </w:r>
    </w:p>
    <w:p>
      <w:pPr>
        <w:pStyle w:val="ListBullet"/>
        <w:spacing w:after="20"/>
      </w:pPr>
      <w:r>
        <w:t>Pinned package versions in requirements.txt.</w:t>
      </w:r>
    </w:p>
    <w:p>
      <w:pPr>
        <w:pStyle w:val="ListBullet"/>
        <w:spacing w:after="20"/>
      </w:pPr>
      <w:r>
        <w:t>Fixed random seed for the train/test split.</w:t>
      </w:r>
    </w:p>
    <w:p>
      <w:pPr>
        <w:pStyle w:val="ListBullet"/>
        <w:spacing w:after="20"/>
      </w:pPr>
      <w:r>
        <w:t>Reusable preprocessing and classifier pipeline.</w:t>
      </w:r>
    </w:p>
    <w:p>
      <w:pPr>
        <w:pStyle w:val="ListBullet"/>
        <w:spacing w:after="20"/>
      </w:pPr>
      <w:r>
        <w:t>Serialized model artifact and feature schema.</w:t>
      </w:r>
    </w:p>
    <w:p>
      <w:pPr>
        <w:pStyle w:val="ListBullet"/>
        <w:spacing w:after="20"/>
      </w:pPr>
      <w:r>
        <w:t>MLflow tracking of training metrics and artifacts.</w:t>
      </w:r>
    </w:p>
    <w:p>
      <w:pPr>
        <w:pStyle w:val="ListBullet"/>
        <w:spacing w:after="20"/>
      </w:pPr>
      <w:r>
        <w:t>Version-controlled tests, Dockerfile, CI workflow, and Kubernetes manifests.</w:t>
      </w:r>
    </w:p>
    <w:p>
      <w:pPr>
        <w:pStyle w:val="Heading2"/>
      </w:pPr>
      <w:r>
        <w:t>4.3 Remaining limitations</w:t>
      </w:r>
    </w:p>
    <w:p>
      <w:r>
        <w:t>A fixed split seed improves repeatability but cannot guarantee identical outcomes across all environments or dependency versions. The model artifact is committed, while the MLflow SQLite database is not. Future work could add dataset versioning, immutable model versions, a model registry, and a formal model promotion process.</w:t>
      </w:r>
    </w:p>
    <w:tbl>
      <w:tblPr>
        <w:tblStyle w:val="TableGrid"/>
        <w:tblW w:type="auto" w:w="0"/>
        <w:tblLook w:firstColumn="1" w:firstRow="1" w:lastColumn="0" w:lastRow="0" w:noHBand="0" w:noVBand="1" w:val="04A0"/>
      </w:tblPr>
      <w:tblGrid>
        <w:gridCol w:w="10080"/>
      </w:tblGrid>
      <w:tr>
        <w:trPr>
          <w:cantSplit/>
        </w:trPr>
        <w:tc>
          <w:tcPr>
            <w:tcW w:type="dxa" w:w="10080"/>
          </w:tcPr>
          <w:p>
            <w:pPr>
              <w:jc w:val="center"/>
            </w:pPr>
            <w:r>
              <w:rPr>
                <w:i/>
                <w:color w:val="646464"/>
                <w:sz w:val="16"/>
              </w:rPr>
              <w:t>[SCREENSHOT PLACEHOLDER: MLflow experiment runs and metrics]</w:t>
              <w:br/>
              <w:t>Replace this box with a genuine screenshot from the project environment.</w:t>
            </w:r>
          </w:p>
        </w:tc>
      </w:tr>
    </w:tbl>
    <w:p>
      <w:r>
        <w:t>Use an authentic screenshot from the actual MLflow UI. The run names and metric values shown should correspond to the current training records.</w:t>
      </w:r>
    </w:p>
    <w:p>
      <w:r>
        <w:br w:type="page"/>
      </w:r>
    </w:p>
    <w:p>
      <w:pPr>
        <w:pStyle w:val="Heading1"/>
      </w:pPr>
      <w:r>
        <w:t>5. API, Automated Testing, and Docker</w:t>
      </w:r>
    </w:p>
    <w:p>
      <w:pPr>
        <w:pStyle w:val="Heading2"/>
      </w:pPr>
      <w:r>
        <w:t>5.1 FastAPI service</w:t>
      </w:r>
    </w:p>
    <w:p>
      <w:r>
        <w:t>The service is implemented in src/api.py. It loads the trained model and exposes health, prediction, and metrics endpoints. GET /health returns service status and whether the model loaded. POST /predict accepts the 13 model features and returns the predicted class, estimated disease probability, model filename, and educational disclaimer. GET /docs provides interactive API documentation.</w:t>
      </w:r>
    </w:p>
    <w:tbl>
      <w:tblPr>
        <w:tblStyle w:val="LightShading-Accent1"/>
        <w:tblW w:type="auto" w:w="0"/>
        <w:jc w:val="center"/>
        <w:tblLook w:firstColumn="1" w:firstRow="1" w:lastColumn="0" w:lastRow="0" w:noHBand="0" w:noVBand="1" w:val="04A0"/>
      </w:tblPr>
      <w:tblGrid>
        <w:gridCol w:w="5040"/>
        <w:gridCol w:w="5040"/>
      </w:tblGrid>
      <w:tr>
        <w:trPr>
          <w:cantSplit/>
        </w:trPr>
        <w:tc>
          <w:tcPr>
            <w:tcW w:type="dxa" w:w="5040"/>
          </w:tcPr>
          <w:p>
            <w:r>
              <w:rPr>
                <w:b/>
                <w:sz w:val="16"/>
              </w:rPr>
              <w:t>Endpoint</w:t>
            </w:r>
          </w:p>
        </w:tc>
        <w:tc>
          <w:tcPr>
            <w:tcW w:type="dxa" w:w="5040"/>
          </w:tcPr>
          <w:p>
            <w:r>
              <w:rPr>
                <w:b/>
                <w:sz w:val="16"/>
              </w:rPr>
              <w:t>Purpose</w:t>
            </w:r>
          </w:p>
        </w:tc>
      </w:tr>
      <w:tr>
        <w:trPr>
          <w:cantSplit/>
        </w:trPr>
        <w:tc>
          <w:tcPr>
            <w:tcW w:type="dxa" w:w="5040"/>
          </w:tcPr>
          <w:p>
            <w:pPr>
              <w:spacing w:after="0"/>
            </w:pPr>
            <w:r>
              <w:rPr>
                <w:sz w:val="16"/>
              </w:rPr>
              <w:t>GET /health</w:t>
            </w:r>
          </w:p>
        </w:tc>
        <w:tc>
          <w:tcPr>
            <w:tcW w:type="dxa" w:w="5040"/>
          </w:tcPr>
          <w:p>
            <w:pPr>
              <w:spacing w:after="0"/>
            </w:pPr>
            <w:r>
              <w:rPr>
                <w:sz w:val="16"/>
              </w:rPr>
              <w:t>Health check and model-loaded status.</w:t>
            </w:r>
          </w:p>
        </w:tc>
      </w:tr>
      <w:tr>
        <w:trPr>
          <w:cantSplit/>
        </w:trPr>
        <w:tc>
          <w:tcPr>
            <w:tcW w:type="dxa" w:w="5040"/>
          </w:tcPr>
          <w:p>
            <w:pPr>
              <w:spacing w:after="0"/>
            </w:pPr>
            <w:r>
              <w:rPr>
                <w:sz w:val="16"/>
              </w:rPr>
              <w:t>POST /predict</w:t>
            </w:r>
          </w:p>
        </w:tc>
        <w:tc>
          <w:tcPr>
            <w:tcW w:type="dxa" w:w="5040"/>
          </w:tcPr>
          <w:p>
            <w:pPr>
              <w:spacing w:after="0"/>
            </w:pPr>
            <w:r>
              <w:rPr>
                <w:sz w:val="16"/>
              </w:rPr>
              <w:t>Return prediction details for JSON feature input.</w:t>
            </w:r>
          </w:p>
        </w:tc>
      </w:tr>
      <w:tr>
        <w:trPr>
          <w:cantSplit/>
        </w:trPr>
        <w:tc>
          <w:tcPr>
            <w:tcW w:type="dxa" w:w="5040"/>
          </w:tcPr>
          <w:p>
            <w:pPr>
              <w:spacing w:after="0"/>
            </w:pPr>
            <w:r>
              <w:rPr>
                <w:sz w:val="16"/>
              </w:rPr>
              <w:t>GET /metrics</w:t>
            </w:r>
          </w:p>
        </w:tc>
        <w:tc>
          <w:tcPr>
            <w:tcW w:type="dxa" w:w="5040"/>
          </w:tcPr>
          <w:p>
            <w:pPr>
              <w:spacing w:after="0"/>
            </w:pPr>
            <w:r>
              <w:rPr>
                <w:sz w:val="16"/>
              </w:rPr>
              <w:t>Expose Prometheus-compatible metrics.</w:t>
            </w:r>
          </w:p>
        </w:tc>
      </w:tr>
      <w:tr>
        <w:trPr>
          <w:cantSplit/>
        </w:trPr>
        <w:tc>
          <w:tcPr>
            <w:tcW w:type="dxa" w:w="5040"/>
          </w:tcPr>
          <w:p>
            <w:pPr>
              <w:spacing w:after="0"/>
            </w:pPr>
            <w:r>
              <w:rPr>
                <w:sz w:val="16"/>
              </w:rPr>
              <w:t>GET /docs</w:t>
            </w:r>
          </w:p>
        </w:tc>
        <w:tc>
          <w:tcPr>
            <w:tcW w:type="dxa" w:w="5040"/>
          </w:tcPr>
          <w:p>
            <w:pPr>
              <w:spacing w:after="0"/>
            </w:pPr>
            <w:r>
              <w:rPr>
                <w:sz w:val="16"/>
              </w:rPr>
              <w:t>Interactive API documentation.</w:t>
            </w:r>
          </w:p>
        </w:tc>
      </w:tr>
    </w:tbl>
    <w:p/>
    <w:p>
      <w:pPr>
        <w:pStyle w:val="Heading2"/>
      </w:pPr>
      <w:r>
        <w:t>5.2 Testing</w:t>
      </w:r>
    </w:p>
    <w:p>
      <w:r>
        <w:t>Automated tests are stored in tests/test_api.py. The latest recorded local run completed with four passing tests and one non-fatal Starlette deprecation warning. Run python -m pytest -q from the repository root. Tests should be rerun after changes to the API, model artifact, or dependencies.</w:t>
      </w:r>
    </w:p>
    <w:p>
      <w:pPr>
        <w:pStyle w:val="Heading2"/>
      </w:pPr>
      <w:r>
        <w:t>5.3 Docker packaging</w:t>
      </w:r>
    </w:p>
    <w:p>
      <w:r>
        <w:t>The Dockerfile uses python:3.12-slim, installs pinned requirements, copies the application source and model artifact, and starts Uvicorn on port 8000. Development files and tests are excluded through .dockerignore.</w:t>
      </w:r>
    </w:p>
    <w:p>
      <w:r>
        <w:t>Build with docker build -t heart-disease-api:local . and run with docker run --rm -p 8000:8000 heart-disease-api:local. Verify with curl http://127.0.0.1:8000/health. The model output is not a clinically validated risk estimate.</w:t>
      </w:r>
    </w:p>
    <w:tbl>
      <w:tblPr>
        <w:tblStyle w:val="TableGrid"/>
        <w:tblW w:type="auto" w:w="0"/>
        <w:tblLook w:firstColumn="1" w:firstRow="1" w:lastColumn="0" w:lastRow="0" w:noHBand="0" w:noVBand="1" w:val="04A0"/>
      </w:tblPr>
      <w:tblGrid>
        <w:gridCol w:w="10080"/>
      </w:tblGrid>
      <w:tr>
        <w:trPr>
          <w:cantSplit/>
        </w:trPr>
        <w:tc>
          <w:tcPr>
            <w:tcW w:type="dxa" w:w="10080"/>
          </w:tcPr>
          <w:p>
            <w:pPr>
              <w:jc w:val="center"/>
            </w:pPr>
            <w:r>
              <w:rPr>
                <w:i/>
                <w:color w:val="646464"/>
                <w:sz w:val="16"/>
              </w:rPr>
              <w:t>[SCREENSHOT PLACEHOLDER: Passing tests and local Docker/API health check]</w:t>
              <w:br/>
              <w:t>Replace this box with a genuine screenshot from the project environment.</w:t>
            </w:r>
          </w:p>
        </w:tc>
      </w:tr>
    </w:tbl>
    <w:p>
      <w:r>
        <w:br w:type="page"/>
      </w:r>
    </w:p>
    <w:p>
      <w:pPr>
        <w:pStyle w:val="Heading1"/>
      </w:pPr>
      <w:r>
        <w:t>6. CI/CD and Container Registry</w:t>
      </w:r>
    </w:p>
    <w:p>
      <w:pPr>
        <w:pStyle w:val="Heading2"/>
      </w:pPr>
      <w:r>
        <w:t>6.1 GitHub Actions</w:t>
      </w:r>
    </w:p>
    <w:p>
      <w:r>
        <w:t>The workflow is defined in .github/workflows/ci.yaml. On pushes to main, the CI job installs dependencies, checks that the dataset exists, runs training, and executes automated tests. After successful CI, the publish job builds and pushes the Docker image. This ordering reduces the chance of publishing an image when the required checks fail.</w:t>
      </w:r>
    </w:p>
    <w:p>
      <w:pPr>
        <w:pStyle w:val="Heading2"/>
      </w:pPr>
      <w:r>
        <w:t>6.2 Docker Hub</w:t>
      </w:r>
    </w:p>
    <w:p>
      <w:r>
        <w:t>Image repository: https://hub.docker.com/r/vidyabhushanbitspilani/heart-disease-api-mlops. Published tags include latest, 1.0, and a commit-specific SHA tag. Commit-specific tags help associate an image with a source revision.</w:t>
      </w:r>
    </w:p>
    <w:p>
      <w:r>
        <w:t>The workflow expects GitHub repository secrets named DOCKERHUB_USERNAME and DOCKERHUB_TOKEN. These values must be configured as repository secrets and must never be committed to source control or exposed in screenshots.</w:t>
      </w:r>
    </w:p>
    <w:p>
      <w:pPr>
        <w:pStyle w:val="Heading2"/>
      </w:pPr>
      <w:r>
        <w:t>6.3 Verification</w:t>
      </w:r>
    </w:p>
    <w:p>
      <w:pPr>
        <w:pStyle w:val="ListNumber"/>
        <w:spacing w:after="20"/>
      </w:pPr>
      <w:r>
        <w:t>Open the repository Actions tab and inspect the latest workflow run.</w:t>
      </w:r>
    </w:p>
    <w:p>
      <w:pPr>
        <w:pStyle w:val="ListNumber"/>
        <w:spacing w:after="20"/>
      </w:pPr>
      <w:r>
        <w:t>Confirm both CI and publish jobs succeeded.</w:t>
      </w:r>
    </w:p>
    <w:p>
      <w:pPr>
        <w:pStyle w:val="ListNumber"/>
        <w:spacing w:after="20"/>
      </w:pPr>
      <w:r>
        <w:t>Open Docker Hub and verify the published tags.</w:t>
      </w:r>
    </w:p>
    <w:p>
      <w:pPr>
        <w:pStyle w:val="ListNumber"/>
        <w:spacing w:after="20"/>
      </w:pPr>
      <w:r>
        <w:t>Check that the Kubernetes Deployment uses the intended image.</w:t>
      </w:r>
    </w:p>
    <w:tbl>
      <w:tblPr>
        <w:tblStyle w:val="TableGrid"/>
        <w:tblW w:type="auto" w:w="0"/>
        <w:tblLook w:firstColumn="1" w:firstRow="1" w:lastColumn="0" w:lastRow="0" w:noHBand="0" w:noVBand="1" w:val="04A0"/>
      </w:tblPr>
      <w:tblGrid>
        <w:gridCol w:w="10080"/>
      </w:tblGrid>
      <w:tr>
        <w:trPr>
          <w:cantSplit/>
        </w:trPr>
        <w:tc>
          <w:tcPr>
            <w:tcW w:type="dxa" w:w="10080"/>
          </w:tcPr>
          <w:p>
            <w:pPr>
              <w:jc w:val="center"/>
            </w:pPr>
            <w:r>
              <w:rPr>
                <w:i/>
                <w:color w:val="646464"/>
                <w:sz w:val="16"/>
              </w:rPr>
              <w:t>[SCREENSHOT PLACEHOLDER: Successful GitHub Actions CI and publish jobs]</w:t>
              <w:br/>
              <w:t>Replace this box with a genuine screenshot from the project environment.</w:t>
            </w:r>
          </w:p>
        </w:tc>
      </w:tr>
    </w:tbl>
    <w:tbl>
      <w:tblPr>
        <w:tblStyle w:val="TableGrid"/>
        <w:tblW w:type="auto" w:w="0"/>
        <w:tblLook w:firstColumn="1" w:firstRow="1" w:lastColumn="0" w:lastRow="0" w:noHBand="0" w:noVBand="1" w:val="04A0"/>
      </w:tblPr>
      <w:tblGrid>
        <w:gridCol w:w="10080"/>
      </w:tblGrid>
      <w:tr>
        <w:trPr>
          <w:cantSplit/>
        </w:trPr>
        <w:tc>
          <w:tcPr>
            <w:tcW w:type="dxa" w:w="10080"/>
          </w:tcPr>
          <w:p>
            <w:pPr>
              <w:jc w:val="center"/>
            </w:pPr>
            <w:r>
              <w:rPr>
                <w:i/>
                <w:color w:val="646464"/>
                <w:sz w:val="16"/>
              </w:rPr>
              <w:t>[SCREENSHOT PLACEHOLDER: Docker Hub repository and published image tags]</w:t>
              <w:br/>
              <w:t>Replace this box with a genuine screenshot from the project environment.</w:t>
            </w:r>
          </w:p>
        </w:tc>
      </w:tr>
    </w:tbl>
    <w:p>
      <w:r>
        <w:t>A green workflow verifies the configured steps ran successfully; it does not establish clinical validity or complete production security. Image scanning and dependency vulnerability checks are useful future additions.</w:t>
      </w:r>
    </w:p>
    <w:p>
      <w:r>
        <w:br w:type="page"/>
      </w:r>
    </w:p>
    <w:p>
      <w:pPr>
        <w:pStyle w:val="Heading1"/>
      </w:pPr>
      <w:r>
        <w:t>7. Kubernetes Deployment and API Verification</w:t>
      </w:r>
    </w:p>
    <w:p>
      <w:pPr>
        <w:pStyle w:val="Heading2"/>
      </w:pPr>
      <w:r>
        <w:t>7.1 Manifests and architecture</w:t>
      </w:r>
    </w:p>
    <w:p>
      <w:r>
        <w:t>The k8s directory contains deployment.yaml, service.yaml, and ingress.yaml. The Deployment specifies two replicas using the published Docker Hub image, health probes on /health, and CPU/memory requests and limits. The Service exposes the application on port 8000 through NodePort 30080. The Ingress routes HTTP requests to the Service.</w:t>
      </w:r>
    </w:p>
    <w:p>
      <w:pPr>
        <w:pStyle w:val="Heading2"/>
      </w:pPr>
      <w:r>
        <w:t>7.2 Local Minikube deployment</w:t>
      </w:r>
    </w:p>
    <w:p>
      <w:r>
        <w:t>The project was deployed to a local Minikube cluster using the Docker driver. The Ingress add-on was enabled, and the manifests were applied with kubectl. The recorded cluster showed two application pod addresses behind the Ingress.</w:t>
      </w:r>
    </w:p>
    <w:p>
      <w:r>
        <w:t>Operational commands include:</w:t>
      </w:r>
    </w:p>
    <w:p>
      <w:pPr>
        <w:pStyle w:val="ListBullet"/>
        <w:spacing w:after="20"/>
      </w:pPr>
      <w:r>
        <w:rPr>
          <w:rFonts w:ascii="Consolas" w:hAnsi="Consolas"/>
          <w:sz w:val="16"/>
        </w:rPr>
        <w:t>kubectl apply -f k8s/</w:t>
      </w:r>
    </w:p>
    <w:p>
      <w:pPr>
        <w:pStyle w:val="ListBullet"/>
        <w:spacing w:after="20"/>
      </w:pPr>
      <w:r>
        <w:rPr>
          <w:rFonts w:ascii="Consolas" w:hAnsi="Consolas"/>
          <w:sz w:val="16"/>
        </w:rPr>
        <w:t>kubectl rollout status deployment/heart-disease-api</w:t>
      </w:r>
    </w:p>
    <w:p>
      <w:pPr>
        <w:pStyle w:val="ListBullet"/>
        <w:spacing w:after="20"/>
      </w:pPr>
      <w:r>
        <w:rPr>
          <w:rFonts w:ascii="Consolas" w:hAnsi="Consolas"/>
          <w:sz w:val="16"/>
        </w:rPr>
        <w:t>kubectl get deployments,pods,services,ingress</w:t>
      </w:r>
    </w:p>
    <w:p>
      <w:pPr>
        <w:pStyle w:val="ListBullet"/>
        <w:spacing w:after="20"/>
      </w:pPr>
      <w:r>
        <w:rPr>
          <w:rFonts w:ascii="Consolas" w:hAnsi="Consolas"/>
          <w:sz w:val="16"/>
        </w:rPr>
        <w:t>kubectl logs deployment/heart-disease-api</w:t>
      </w:r>
    </w:p>
    <w:p>
      <w:pPr>
        <w:pStyle w:val="Heading2"/>
      </w:pPr>
      <w:r>
        <w:t>7.3 API verification</w:t>
      </w:r>
    </w:p>
    <w:p>
      <w:r>
        <w:t>The recorded Ingress address was 192.168.49.2. GET /health returned {"status":"ok","model_loaded":true}. A sample POST to /predict returned a prediction, probability, model filename, and disclaimer. The address may change after cluster restart; use kubectl get ingress and minikube ip to retrieve current values.</w:t>
      </w:r>
    </w:p>
    <w:tbl>
      <w:tblPr>
        <w:tblStyle w:val="TableGrid"/>
        <w:tblW w:type="auto" w:w="0"/>
        <w:tblLook w:firstColumn="1" w:firstRow="1" w:lastColumn="0" w:lastRow="0" w:noHBand="0" w:noVBand="1" w:val="04A0"/>
      </w:tblPr>
      <w:tblGrid>
        <w:gridCol w:w="10080"/>
      </w:tblGrid>
      <w:tr>
        <w:trPr>
          <w:cantSplit/>
        </w:trPr>
        <w:tc>
          <w:tcPr>
            <w:tcW w:type="dxa" w:w="10080"/>
          </w:tcPr>
          <w:p>
            <w:pPr>
              <w:jc w:val="center"/>
            </w:pPr>
            <w:r>
              <w:rPr>
                <w:i/>
                <w:color w:val="646464"/>
                <w:sz w:val="16"/>
              </w:rPr>
              <w:t>[SCREENSHOT PLACEHOLDER: Kubernetes resources and rollout status]</w:t>
              <w:br/>
              <w:t>Replace this box with a genuine screenshot from the project environment.</w:t>
            </w:r>
          </w:p>
        </w:tc>
      </w:tr>
    </w:tbl>
    <w:tbl>
      <w:tblPr>
        <w:tblStyle w:val="TableGrid"/>
        <w:tblW w:type="auto" w:w="0"/>
        <w:tblLook w:firstColumn="1" w:firstRow="1" w:lastColumn="0" w:lastRow="0" w:noHBand="0" w:noVBand="1" w:val="04A0"/>
      </w:tblPr>
      <w:tblGrid>
        <w:gridCol w:w="10080"/>
      </w:tblGrid>
      <w:tr>
        <w:trPr>
          <w:cantSplit/>
        </w:trPr>
        <w:tc>
          <w:tcPr>
            <w:tcW w:type="dxa" w:w="10080"/>
          </w:tcPr>
          <w:p>
            <w:pPr>
              <w:jc w:val="center"/>
            </w:pPr>
            <w:r>
              <w:rPr>
                <w:i/>
                <w:color w:val="646464"/>
                <w:sz w:val="16"/>
              </w:rPr>
              <w:t>[SCREENSHOT PLACEHOLDER: Successful health and prediction requests]</w:t>
              <w:br/>
              <w:t>Replace this box with a genuine screenshot from the project environment.</w:t>
            </w:r>
          </w:p>
        </w:tc>
      </w:tr>
    </w:tbl>
    <w:p>
      <w:r>
        <w:t>This is a local development deployment, not a permanently hosted cloud endpoint. Access from another machine may require routing, firewall, DNS, and security configuration.</w:t>
      </w:r>
    </w:p>
    <w:p>
      <w:r>
        <w:br w:type="page"/>
      </w:r>
    </w:p>
    <w:p>
      <w:pPr>
        <w:pStyle w:val="Heading1"/>
      </w:pPr>
      <w:r>
        <w:t>8. Monitoring, Logging, and Limitations</w:t>
      </w:r>
    </w:p>
    <w:p>
      <w:pPr>
        <w:pStyle w:val="Heading2"/>
      </w:pPr>
      <w:r>
        <w:t>8.1 Application observability</w:t>
      </w:r>
    </w:p>
    <w:p>
      <w:r>
        <w:t>The API implements request logging and Prometheus-compatible metrics. Request middleware records method, endpoint, status code, and duration. The /metrics endpoint exposes HTTP request counts, request-duration histogram data, API error counts, and prediction counts grouped by predicted class.</w:t>
      </w:r>
    </w:p>
    <w:tbl>
      <w:tblPr>
        <w:tblStyle w:val="LightShading-Accent1"/>
        <w:tblW w:type="auto" w:w="0"/>
        <w:jc w:val="center"/>
        <w:tblLook w:firstColumn="1" w:firstRow="1" w:lastColumn="0" w:lastRow="0" w:noHBand="0" w:noVBand="1" w:val="04A0"/>
      </w:tblPr>
      <w:tblGrid>
        <w:gridCol w:w="5040"/>
        <w:gridCol w:w="5040"/>
      </w:tblGrid>
      <w:tr>
        <w:trPr>
          <w:cantSplit/>
        </w:trPr>
        <w:tc>
          <w:tcPr>
            <w:tcW w:type="dxa" w:w="5040"/>
          </w:tcPr>
          <w:p>
            <w:r>
              <w:rPr>
                <w:b/>
                <w:sz w:val="16"/>
              </w:rPr>
              <w:t>Metric</w:t>
            </w:r>
          </w:p>
        </w:tc>
        <w:tc>
          <w:tcPr>
            <w:tcW w:type="dxa" w:w="5040"/>
          </w:tcPr>
          <w:p>
            <w:r>
              <w:rPr>
                <w:b/>
                <w:sz w:val="16"/>
              </w:rPr>
              <w:t>Meaning</w:t>
            </w:r>
          </w:p>
        </w:tc>
      </w:tr>
      <w:tr>
        <w:trPr>
          <w:cantSplit/>
        </w:trPr>
        <w:tc>
          <w:tcPr>
            <w:tcW w:type="dxa" w:w="5040"/>
          </w:tcPr>
          <w:p>
            <w:pPr>
              <w:spacing w:after="0"/>
            </w:pPr>
            <w:r>
              <w:rPr>
                <w:sz w:val="16"/>
              </w:rPr>
              <w:t>heart_api_http_requests_total</w:t>
            </w:r>
          </w:p>
        </w:tc>
        <w:tc>
          <w:tcPr>
            <w:tcW w:type="dxa" w:w="5040"/>
          </w:tcPr>
          <w:p>
            <w:pPr>
              <w:spacing w:after="0"/>
            </w:pPr>
            <w:r>
              <w:rPr>
                <w:sz w:val="16"/>
              </w:rPr>
              <w:t>HTTP request counts by method, endpoint, and status.</w:t>
            </w:r>
          </w:p>
        </w:tc>
      </w:tr>
      <w:tr>
        <w:trPr>
          <w:cantSplit/>
        </w:trPr>
        <w:tc>
          <w:tcPr>
            <w:tcW w:type="dxa" w:w="5040"/>
          </w:tcPr>
          <w:p>
            <w:pPr>
              <w:spacing w:after="0"/>
            </w:pPr>
            <w:r>
              <w:rPr>
                <w:sz w:val="16"/>
              </w:rPr>
              <w:t>heart_api_request_duration_seconds</w:t>
            </w:r>
          </w:p>
        </w:tc>
        <w:tc>
          <w:tcPr>
            <w:tcW w:type="dxa" w:w="5040"/>
          </w:tcPr>
          <w:p>
            <w:pPr>
              <w:spacing w:after="0"/>
            </w:pPr>
            <w:r>
              <w:rPr>
                <w:sz w:val="16"/>
              </w:rPr>
              <w:t>Request latency histogram.</w:t>
            </w:r>
          </w:p>
        </w:tc>
      </w:tr>
      <w:tr>
        <w:trPr>
          <w:cantSplit/>
        </w:trPr>
        <w:tc>
          <w:tcPr>
            <w:tcW w:type="dxa" w:w="5040"/>
          </w:tcPr>
          <w:p>
            <w:pPr>
              <w:spacing w:after="0"/>
            </w:pPr>
            <w:r>
              <w:rPr>
                <w:sz w:val="16"/>
              </w:rPr>
              <w:t>heart_api_errors_total</w:t>
            </w:r>
          </w:p>
        </w:tc>
        <w:tc>
          <w:tcPr>
            <w:tcW w:type="dxa" w:w="5040"/>
          </w:tcPr>
          <w:p>
            <w:pPr>
              <w:spacing w:after="0"/>
            </w:pPr>
            <w:r>
              <w:rPr>
                <w:sz w:val="16"/>
              </w:rPr>
              <w:t>API error counter.</w:t>
            </w:r>
          </w:p>
        </w:tc>
      </w:tr>
      <w:tr>
        <w:trPr>
          <w:cantSplit/>
        </w:trPr>
        <w:tc>
          <w:tcPr>
            <w:tcW w:type="dxa" w:w="5040"/>
          </w:tcPr>
          <w:p>
            <w:pPr>
              <w:spacing w:after="0"/>
            </w:pPr>
            <w:r>
              <w:rPr>
                <w:sz w:val="16"/>
              </w:rPr>
              <w:t>heart_api_predictions_total</w:t>
            </w:r>
          </w:p>
        </w:tc>
        <w:tc>
          <w:tcPr>
            <w:tcW w:type="dxa" w:w="5040"/>
          </w:tcPr>
          <w:p>
            <w:pPr>
              <w:spacing w:after="0"/>
            </w:pPr>
            <w:r>
              <w:rPr>
                <w:sz w:val="16"/>
              </w:rPr>
              <w:t>Prediction count grouped by predicted class.</w:t>
            </w:r>
          </w:p>
        </w:tc>
      </w:tr>
    </w:tbl>
    <w:p/>
    <w:p>
      <w:r>
        <w:t>The metrics endpoint was verified in Kubernetes. However, the current project does not deploy a Prometheus server or Grafana dashboard. With multiple replicas, counters are maintained by each application process; centralized scraping and aggregation are needed for cluster-wide monitoring.</w:t>
      </w:r>
    </w:p>
    <w:p>
      <w:pPr>
        <w:pStyle w:val="Heading2"/>
      </w:pPr>
      <w:r>
        <w:t>8.2 Operational security</w:t>
      </w:r>
    </w:p>
    <w:p>
      <w:pPr>
        <w:pStyle w:val="ListBullet"/>
        <w:spacing w:after="20"/>
      </w:pPr>
      <w:r>
        <w:t>Keep registry credentials in GitHub Actions secrets.</w:t>
      </w:r>
    </w:p>
    <w:p>
      <w:pPr>
        <w:pStyle w:val="ListBullet"/>
        <w:spacing w:after="20"/>
      </w:pPr>
      <w:r>
        <w:t>Do not commit local databases, virtual environments, or secrets.</w:t>
      </w:r>
    </w:p>
    <w:p>
      <w:pPr>
        <w:pStyle w:val="ListBullet"/>
        <w:spacing w:after="20"/>
      </w:pPr>
      <w:r>
        <w:t>Add authentication, rate limiting, and TLS before public exposure.</w:t>
      </w:r>
    </w:p>
    <w:p>
      <w:pPr>
        <w:pStyle w:val="ListBullet"/>
        <w:spacing w:after="20"/>
      </w:pPr>
      <w:r>
        <w:t>Consider container vulnerability scanning and least-privilege execution.</w:t>
      </w:r>
    </w:p>
    <w:p>
      <w:pPr>
        <w:pStyle w:val="ListBullet"/>
        <w:spacing w:after="20"/>
      </w:pPr>
      <w:r>
        <w:t>Prefer immutable image tags for reproducible releases.</w:t>
      </w:r>
    </w:p>
    <w:p>
      <w:pPr>
        <w:pStyle w:val="Heading2"/>
      </w:pPr>
      <w:r>
        <w:t>8.3 Model/data limitations</w:t>
      </w:r>
    </w:p>
    <w:p>
      <w:r>
        <w:t>The dataset has only 303 records and cannot establish clinical performance. The small test split and test-set-based model selection may lead to optimistic performance estimates. The model must not be used for diagnosis, treatment decisions, or medical advice. Future work should include cross-validation, untouched test evaluation, external validation, data-quality checks, and appropriate clinical and regulatory review.</w:t>
      </w:r>
    </w:p>
    <w:tbl>
      <w:tblPr>
        <w:tblStyle w:val="TableGrid"/>
        <w:tblW w:type="auto" w:w="0"/>
        <w:tblLook w:firstColumn="1" w:firstRow="1" w:lastColumn="0" w:lastRow="0" w:noHBand="0" w:noVBand="1" w:val="04A0"/>
      </w:tblPr>
      <w:tblGrid>
        <w:gridCol w:w="10080"/>
      </w:tblGrid>
      <w:tr>
        <w:trPr>
          <w:cantSplit/>
        </w:trPr>
        <w:tc>
          <w:tcPr>
            <w:tcW w:type="dxa" w:w="10080"/>
          </w:tcPr>
          <w:p>
            <w:pPr>
              <w:jc w:val="center"/>
            </w:pPr>
            <w:r>
              <w:rPr>
                <w:i/>
                <w:color w:val="646464"/>
                <w:sz w:val="16"/>
              </w:rPr>
              <w:t>[SCREENSHOT PLACEHOLDER: Prometheus-compatible metrics endpoint]</w:t>
              <w:br/>
              <w:t>Replace this box with a genuine screenshot from the project environment.</w:t>
            </w:r>
          </w:p>
        </w:tc>
      </w:tr>
    </w:tbl>
    <w:p>
      <w:r>
        <w:br w:type="page"/>
      </w:r>
    </w:p>
    <w:p>
      <w:pPr>
        <w:pStyle w:val="Heading1"/>
      </w:pPr>
      <w:r>
        <w:t>9. Conclusion and Submission Checklist</w:t>
      </w:r>
    </w:p>
    <w:p>
      <w:pPr>
        <w:pStyle w:val="Heading2"/>
      </w:pPr>
      <w:r>
        <w:t>9.1 Conclusion</w:t>
      </w:r>
    </w:p>
    <w:p>
      <w:r>
        <w:t>The assignment demonstrates a practical end-to-end MLOps workflow, connecting data analysis and preprocessing with model training, MLflow tracking, API packaging, automated tests, CI/CD, Docker image publishing, Kubernetes deployment, and application observability.</w:t>
      </w:r>
    </w:p>
    <w:p>
      <w:r>
        <w:t>The source repository and deployment artifacts provide a foundation for repeatable experimentation. Important future improvements include better model-selection methodology, centralized monitoring, deployment security hardening, and independent model validation. The model is an educational demonstration only.</w:t>
      </w:r>
    </w:p>
    <w:p>
      <w:pPr>
        <w:pStyle w:val="Heading2"/>
      </w:pPr>
      <w:r>
        <w:t>9.2 Evidence checklist</w:t>
      </w:r>
    </w:p>
    <w:p>
      <w:pPr>
        <w:pStyle w:val="ListBullet"/>
        <w:spacing w:after="20"/>
      </w:pPr>
      <w:r>
        <w:t>☐ GitHub repository and latest commit.</w:t>
      </w:r>
    </w:p>
    <w:p>
      <w:pPr>
        <w:pStyle w:val="ListBullet"/>
        <w:spacing w:after="20"/>
      </w:pPr>
      <w:r>
        <w:t>☐ Dataset and generated EDA reports.</w:t>
      </w:r>
    </w:p>
    <w:p>
      <w:pPr>
        <w:pStyle w:val="ListBullet"/>
        <w:spacing w:after="20"/>
      </w:pPr>
      <w:r>
        <w:t>☐ Model comparison report and metrics.</w:t>
      </w:r>
    </w:p>
    <w:p>
      <w:pPr>
        <w:pStyle w:val="ListBullet"/>
        <w:spacing w:after="20"/>
      </w:pPr>
      <w:r>
        <w:t>☐ MLflow experiment runs and artifacts.</w:t>
      </w:r>
    </w:p>
    <w:p>
      <w:pPr>
        <w:pStyle w:val="ListBullet"/>
        <w:spacing w:after="20"/>
      </w:pPr>
      <w:r>
        <w:t>☐ Passing pytest output.</w:t>
      </w:r>
    </w:p>
    <w:p>
      <w:pPr>
        <w:pStyle w:val="ListBullet"/>
        <w:spacing w:after="20"/>
      </w:pPr>
      <w:r>
        <w:t>☐ Successful GitHub Actions CI and publish jobs.</w:t>
      </w:r>
    </w:p>
    <w:p>
      <w:pPr>
        <w:pStyle w:val="ListBullet"/>
        <w:spacing w:after="20"/>
      </w:pPr>
      <w:r>
        <w:t>☐ Docker Hub image and tags.</w:t>
      </w:r>
    </w:p>
    <w:p>
      <w:pPr>
        <w:pStyle w:val="ListBullet"/>
        <w:spacing w:after="20"/>
      </w:pPr>
      <w:r>
        <w:t>☐ Kubernetes Deployment, Pods, Service, and Ingress.</w:t>
      </w:r>
    </w:p>
    <w:p>
      <w:pPr>
        <w:pStyle w:val="ListBullet"/>
        <w:spacing w:after="20"/>
      </w:pPr>
      <w:r>
        <w:t>☐ Successful /health and /predict requests.</w:t>
      </w:r>
    </w:p>
    <w:p>
      <w:pPr>
        <w:pStyle w:val="ListBullet"/>
        <w:spacing w:after="20"/>
      </w:pPr>
      <w:r>
        <w:t>☐ /metrics response showing heart_api_* metrics.</w:t>
      </w:r>
    </w:p>
    <w:p>
      <w:pPr>
        <w:pStyle w:val="ListBullet"/>
        <w:spacing w:after="20"/>
      </w:pPr>
      <w:r>
        <w:t>☐ Short demo video of the end-to-end workflow.</w:t>
      </w:r>
    </w:p>
    <w:p>
      <w:pPr>
        <w:pStyle w:val="Heading2"/>
      </w:pPr>
      <w:r>
        <w:t>9.3 Links and references</w:t>
      </w:r>
    </w:p>
    <w:p>
      <w:r>
        <w:t>GitHub: https://github.com/vidyabhushan-bitspilani/heart-disease-mlops-2025ae05438</w:t>
      </w:r>
    </w:p>
    <w:p>
      <w:r>
        <w:t>Docker Hub: https://hub.docker.com/r/vidyabhushanbitspilani/heart-disease-api-mlops</w:t>
      </w:r>
    </w:p>
    <w:p>
      <w:r>
        <w:t>Local API: use the current Minikube Ingress address while the cluster is running; previously observed address: http://192.168.49.2.</w:t>
      </w:r>
    </w:p>
    <w:p>
      <w:r>
        <w:t>References:</w:t>
      </w:r>
    </w:p>
    <w:p>
      <w:pPr>
        <w:pStyle w:val="ListBullet"/>
        <w:spacing w:after="20"/>
      </w:pPr>
      <w:r>
        <w:t>UCI Heart Disease dataset: https://archive.ics.uci.edu/dataset/45/heart+disease</w:t>
      </w:r>
    </w:p>
    <w:p>
      <w:pPr>
        <w:pStyle w:val="ListBullet"/>
        <w:spacing w:after="20"/>
      </w:pPr>
      <w:r>
        <w:t>FastAPI: https://fastapi.tiangolo.com/</w:t>
      </w:r>
    </w:p>
    <w:p>
      <w:pPr>
        <w:pStyle w:val="ListBullet"/>
        <w:spacing w:after="20"/>
      </w:pPr>
      <w:r>
        <w:t>MLflow: https://mlflow.org/docs/latest/</w:t>
      </w:r>
    </w:p>
    <w:p>
      <w:pPr>
        <w:pStyle w:val="ListBullet"/>
        <w:spacing w:after="20"/>
      </w:pPr>
      <w:r>
        <w:t>scikit-learn: https://scikit-learn.org/stable/</w:t>
      </w:r>
    </w:p>
    <w:p>
      <w:pPr>
        <w:pStyle w:val="ListBullet"/>
        <w:spacing w:after="20"/>
      </w:pPr>
      <w:r>
        <w:t>Kubernetes: https://kubernetes.io/docs/</w:t>
      </w:r>
    </w:p>
    <w:p>
      <w:pPr>
        <w:pStyle w:val="ListBullet"/>
        <w:spacing w:after="20"/>
      </w:pPr>
      <w:r>
        <w:t>Docker: https://docs.docker.com/</w:t>
      </w:r>
    </w:p>
    <w:p>
      <w:pPr>
        <w:pStyle w:val="ListBullet"/>
        <w:spacing w:after="20"/>
      </w:pPr>
      <w:r>
        <w:t>GitHub Actions: https://docs.github.com/actions</w:t>
      </w:r>
    </w:p>
    <w:p>
      <w:r>
        <w:t>Before submission, replace the student-detail fields, insert genuine screenshots, verify metrics against the current generated report, and ensure links reflect the final repository state.</w:t>
      </w:r>
    </w:p>
    <w:sectPr w:rsidR="00FC693F" w:rsidRPr="0006063C" w:rsidSect="00034616">
      <w:headerReference w:type="default" r:id="rId9"/>
      <w:footerReference w:type="default" r:id="rId10"/>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Heart Disease MLOps Pipeline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BITS PILANI  |  CI/CD AND PRODUCTION DEPLOYMENT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CI/CD and Production Deployment Experimental Learning - Heart Disease MLOps</dc:title>
  <dc:subject>MLOps assignment report</dc:subject>
  <dc:creator>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