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6AFC" w:rsidRDefault="00626AFC" w:rsidP="00626AFC">
      <w:pPr>
        <w:pStyle w:val="Heading1"/>
        <w:spacing w:before="480" w:beforeAutospacing="0" w:after="120" w:afterAutospacing="0"/>
      </w:pPr>
      <w:r>
        <w:rPr>
          <w:rFonts w:ascii="Arial" w:hAnsi="Arial" w:cs="Arial"/>
          <w:color w:val="000000"/>
          <w:sz w:val="46"/>
          <w:szCs w:val="46"/>
        </w:rPr>
        <w:t>GLP Certification in Mongolia: Ensuring Quality and Reliability in Laboratory Practices</w:t>
      </w:r>
    </w:p>
    <w:p w:rsidR="00626AFC" w:rsidRDefault="00626AFC" w:rsidP="00626AFC">
      <w:pPr>
        <w:pStyle w:val="NormalWeb"/>
        <w:spacing w:before="240" w:beforeAutospacing="0" w:after="240" w:afterAutospacing="0"/>
      </w:pPr>
      <w:r>
        <w:rPr>
          <w:rFonts w:ascii="Arial" w:hAnsi="Arial" w:cs="Arial"/>
          <w:color w:val="000000"/>
          <w:sz w:val="22"/>
          <w:szCs w:val="22"/>
        </w:rPr>
        <w:t xml:space="preserve">In today's competitive scientific and industrial environment, laboratories play a vital role in ensuring the safety, quality, and reliability of products and research outcomes. Organizations involved in pharmaceuticals, biotechnology, chemicals, agriculture, food testing, and environmental research must follow internationally recognized laboratory practices to produce accurate and consistent results. </w:t>
      </w:r>
      <w:hyperlink r:id="rId6" w:history="1">
        <w:r>
          <w:rPr>
            <w:rStyle w:val="Hyperlink"/>
            <w:rFonts w:ascii="Arial" w:hAnsi="Arial" w:cs="Arial"/>
            <w:b/>
            <w:bCs/>
            <w:color w:val="1155CC"/>
            <w:sz w:val="22"/>
            <w:szCs w:val="22"/>
          </w:rPr>
          <w:t>Good Laboratory Practice (GLP)</w:t>
        </w:r>
      </w:hyperlink>
      <w:r>
        <w:rPr>
          <w:rFonts w:ascii="Arial" w:hAnsi="Arial" w:cs="Arial"/>
          <w:color w:val="000000"/>
          <w:sz w:val="22"/>
          <w:szCs w:val="22"/>
        </w:rPr>
        <w:t xml:space="preserve"> provides a globally accepted framework for managing laboratory studies with integrity and quality.</w:t>
      </w:r>
    </w:p>
    <w:p w:rsidR="00626AFC" w:rsidRDefault="00626AFC" w:rsidP="00626AFC">
      <w:pPr>
        <w:pStyle w:val="NormalWeb"/>
        <w:spacing w:before="240" w:beforeAutospacing="0" w:after="240" w:afterAutospacing="0"/>
      </w:pPr>
      <w:r>
        <w:rPr>
          <w:rFonts w:ascii="Arial" w:hAnsi="Arial" w:cs="Arial"/>
          <w:color w:val="000000"/>
          <w:sz w:val="22"/>
          <w:szCs w:val="22"/>
        </w:rPr>
        <w:t>Although GLP is primarily a regulatory quality system rather than a product certification, organizations in Mongolia often implement GLP principles and undergo compliance assessments to demonstrate their commitment to reliable laboratory operations and international standards.</w:t>
      </w:r>
    </w:p>
    <w:p w:rsidR="00626AFC" w:rsidRDefault="00626AFC" w:rsidP="00626AFC">
      <w:pPr>
        <w:pStyle w:val="Heading2"/>
        <w:spacing w:before="360" w:beforeAutospacing="0" w:after="80" w:afterAutospacing="0"/>
      </w:pPr>
      <w:r>
        <w:rPr>
          <w:rFonts w:ascii="Arial" w:hAnsi="Arial" w:cs="Arial"/>
          <w:color w:val="000000"/>
          <w:sz w:val="34"/>
          <w:szCs w:val="34"/>
        </w:rPr>
        <w:t>What is GLP?</w:t>
      </w:r>
    </w:p>
    <w:p w:rsidR="00626AFC" w:rsidRDefault="00626AFC" w:rsidP="00626AFC">
      <w:pPr>
        <w:pStyle w:val="NormalWeb"/>
        <w:spacing w:before="240" w:beforeAutospacing="0" w:after="240" w:afterAutospacing="0"/>
      </w:pPr>
      <w:r>
        <w:rPr>
          <w:rFonts w:ascii="Arial" w:hAnsi="Arial" w:cs="Arial"/>
          <w:color w:val="000000"/>
          <w:sz w:val="22"/>
          <w:szCs w:val="22"/>
        </w:rPr>
        <w:t>Good Laboratory Practice (GLP) is a quality management system that governs the planning, performance, monitoring, recording, reporting, and archiving of non-clinical laboratory studies. GLP ensures that laboratory data is accurate, consistent, traceable, and trustworthy.</w:t>
      </w:r>
    </w:p>
    <w:p w:rsidR="00626AFC" w:rsidRDefault="00626AFC" w:rsidP="00626AFC">
      <w:pPr>
        <w:pStyle w:val="NormalWeb"/>
        <w:spacing w:before="240" w:beforeAutospacing="0" w:after="240" w:afterAutospacing="0"/>
      </w:pPr>
      <w:r>
        <w:rPr>
          <w:rFonts w:ascii="Arial" w:hAnsi="Arial" w:cs="Arial"/>
          <w:color w:val="000000"/>
          <w:sz w:val="22"/>
          <w:szCs w:val="22"/>
        </w:rPr>
        <w:t>Organizations implementing GLP establish standardized procedures that improve laboratory efficiency while ensuring compliance with regulatory requirements and international best practices.</w:t>
      </w:r>
    </w:p>
    <w:p w:rsidR="00626AFC" w:rsidRDefault="00626AFC" w:rsidP="00626AFC">
      <w:pPr>
        <w:pStyle w:val="Heading2"/>
        <w:spacing w:before="360" w:beforeAutospacing="0" w:after="80" w:afterAutospacing="0"/>
      </w:pPr>
      <w:r>
        <w:rPr>
          <w:rFonts w:ascii="Arial" w:hAnsi="Arial" w:cs="Arial"/>
          <w:color w:val="000000"/>
          <w:sz w:val="34"/>
          <w:szCs w:val="34"/>
        </w:rPr>
        <w:t>Why is GLP Important in Mongolia?</w:t>
      </w:r>
    </w:p>
    <w:p w:rsidR="00626AFC" w:rsidRDefault="00626AFC" w:rsidP="00626AFC">
      <w:pPr>
        <w:pStyle w:val="NormalWeb"/>
        <w:spacing w:before="240" w:beforeAutospacing="0" w:after="240" w:afterAutospacing="0"/>
      </w:pPr>
      <w:r>
        <w:rPr>
          <w:rFonts w:ascii="Arial" w:hAnsi="Arial" w:cs="Arial"/>
          <w:color w:val="000000"/>
          <w:sz w:val="22"/>
          <w:szCs w:val="22"/>
        </w:rPr>
        <w:t>As Mongolia continues to develop its pharmaceutical, agricultural, environmental, and industrial sectors, laboratories are expected to produce reliable data that meets global quality standards. Implementing GLP helps organizations improve research quality, support regulatory compliance, and strengthen international business opportunities.</w:t>
      </w:r>
    </w:p>
    <w:p w:rsidR="00626AFC" w:rsidRDefault="00626AFC" w:rsidP="00626AFC">
      <w:pPr>
        <w:pStyle w:val="NormalWeb"/>
        <w:spacing w:before="240" w:beforeAutospacing="0" w:after="240" w:afterAutospacing="0"/>
      </w:pPr>
      <w:r>
        <w:rPr>
          <w:rFonts w:ascii="Arial" w:hAnsi="Arial" w:cs="Arial"/>
          <w:color w:val="000000"/>
          <w:sz w:val="22"/>
          <w:szCs w:val="22"/>
        </w:rPr>
        <w:t>GLP compliance helps organizations:</w:t>
      </w:r>
    </w:p>
    <w:p w:rsidR="00626AFC" w:rsidRDefault="00626AFC" w:rsidP="00626AFC">
      <w:pPr>
        <w:pStyle w:val="NormalWeb"/>
        <w:numPr>
          <w:ilvl w:val="0"/>
          <w:numId w:val="3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Ensure accurate and reliable laboratory results.</w:t>
      </w:r>
    </w:p>
    <w:p w:rsidR="00626AFC" w:rsidRDefault="00626AFC" w:rsidP="00626AFC">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 the quality and consistency of research studies.</w:t>
      </w:r>
    </w:p>
    <w:p w:rsidR="00626AFC" w:rsidRDefault="00626AFC" w:rsidP="00626AFC">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Strengthen regulatory compliance.</w:t>
      </w:r>
    </w:p>
    <w:p w:rsidR="00626AFC" w:rsidRDefault="00626AFC" w:rsidP="00626AFC">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Build confidence among customers and business partners.</w:t>
      </w:r>
    </w:p>
    <w:p w:rsidR="00626AFC" w:rsidRDefault="00626AFC" w:rsidP="00626AFC">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 errors through standardized laboratory procedures.</w:t>
      </w:r>
    </w:p>
    <w:p w:rsidR="00626AFC" w:rsidRDefault="00626AFC" w:rsidP="00626AFC">
      <w:pPr>
        <w:pStyle w:val="NormalWeb"/>
        <w:numPr>
          <w:ilvl w:val="0"/>
          <w:numId w:val="3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Support international trade and global collaborations.</w:t>
      </w:r>
    </w:p>
    <w:p w:rsidR="00626AFC" w:rsidRDefault="00626AFC" w:rsidP="00626AFC">
      <w:pPr>
        <w:pStyle w:val="NormalWeb"/>
        <w:spacing w:before="240" w:beforeAutospacing="0" w:after="240" w:afterAutospacing="0"/>
      </w:pPr>
      <w:r>
        <w:rPr>
          <w:rFonts w:ascii="Arial" w:hAnsi="Arial" w:cs="Arial"/>
          <w:color w:val="000000"/>
          <w:sz w:val="22"/>
          <w:szCs w:val="22"/>
        </w:rPr>
        <w:t>By following GLP principles, organizations create a strong foundation for quality laboratory management.</w:t>
      </w:r>
    </w:p>
    <w:p w:rsidR="00626AFC" w:rsidRDefault="00626AFC" w:rsidP="00626AFC">
      <w:pPr>
        <w:pStyle w:val="Heading2"/>
        <w:spacing w:before="360" w:beforeAutospacing="0" w:after="80" w:afterAutospacing="0"/>
      </w:pPr>
      <w:r>
        <w:rPr>
          <w:rFonts w:ascii="Arial" w:hAnsi="Arial" w:cs="Arial"/>
          <w:color w:val="000000"/>
          <w:sz w:val="34"/>
          <w:szCs w:val="34"/>
        </w:rPr>
        <w:t>Key Principles of GLP</w:t>
      </w:r>
    </w:p>
    <w:p w:rsidR="00626AFC" w:rsidRDefault="00626AFC" w:rsidP="00626AFC">
      <w:pPr>
        <w:pStyle w:val="NormalWeb"/>
        <w:spacing w:before="240" w:beforeAutospacing="0" w:after="240" w:afterAutospacing="0"/>
      </w:pPr>
      <w:r>
        <w:rPr>
          <w:rFonts w:ascii="Arial" w:hAnsi="Arial" w:cs="Arial"/>
          <w:color w:val="000000"/>
          <w:sz w:val="22"/>
          <w:szCs w:val="22"/>
        </w:rPr>
        <w:lastRenderedPageBreak/>
        <w:t>GLP is based on several important principles that ensure laboratory studies are conducted systematically and consistently:</w:t>
      </w:r>
    </w:p>
    <w:p w:rsidR="00626AFC" w:rsidRDefault="00626AFC" w:rsidP="00626AFC">
      <w:pPr>
        <w:pStyle w:val="NormalWeb"/>
        <w:numPr>
          <w:ilvl w:val="0"/>
          <w:numId w:val="3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Clear organizational structure and responsibilities.</w:t>
      </w:r>
    </w:p>
    <w:p w:rsidR="00626AFC" w:rsidRDefault="00626AFC" w:rsidP="00626AFC">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Qualified and properly trained personnel.</w:t>
      </w:r>
    </w:p>
    <w:p w:rsidR="00626AFC" w:rsidRDefault="00626AFC" w:rsidP="00626AFC">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Standard Operating Procedures (SOPs).</w:t>
      </w:r>
    </w:p>
    <w:p w:rsidR="00626AFC" w:rsidRDefault="00626AFC" w:rsidP="00626AFC">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Proper maintenance and calibration of equipment.</w:t>
      </w:r>
    </w:p>
    <w:p w:rsidR="00626AFC" w:rsidRDefault="00626AFC" w:rsidP="00626AFC">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Accurate documentation and record keeping.</w:t>
      </w:r>
    </w:p>
    <w:p w:rsidR="00626AFC" w:rsidRDefault="00626AFC" w:rsidP="00626AFC">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Quality assurance and internal inspections.</w:t>
      </w:r>
    </w:p>
    <w:p w:rsidR="00626AFC" w:rsidRDefault="00626AFC" w:rsidP="00626AFC">
      <w:pPr>
        <w:pStyle w:val="NormalWeb"/>
        <w:numPr>
          <w:ilvl w:val="0"/>
          <w:numId w:val="3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Secure storage and archiving of study records.</w:t>
      </w:r>
    </w:p>
    <w:p w:rsidR="00626AFC" w:rsidRDefault="00626AFC" w:rsidP="00626AFC">
      <w:pPr>
        <w:pStyle w:val="NormalWeb"/>
        <w:spacing w:before="240" w:beforeAutospacing="0" w:after="240" w:afterAutospacing="0"/>
      </w:pPr>
      <w:r>
        <w:rPr>
          <w:rFonts w:ascii="Arial" w:hAnsi="Arial" w:cs="Arial"/>
          <w:color w:val="000000"/>
          <w:sz w:val="22"/>
          <w:szCs w:val="22"/>
        </w:rPr>
        <w:t>These principles help maintain the integrity and reliability of laboratory data throughout the study lifecycle.</w:t>
      </w:r>
    </w:p>
    <w:p w:rsidR="00626AFC" w:rsidRDefault="00626AFC" w:rsidP="00626AFC">
      <w:pPr>
        <w:pStyle w:val="Heading2"/>
        <w:spacing w:before="360" w:beforeAutospacing="0" w:after="80" w:afterAutospacing="0"/>
      </w:pPr>
      <w:r>
        <w:rPr>
          <w:rFonts w:ascii="Arial" w:hAnsi="Arial" w:cs="Arial"/>
          <w:color w:val="000000"/>
          <w:sz w:val="34"/>
          <w:szCs w:val="34"/>
        </w:rPr>
        <w:t>Organizations That Can Benefit from GLP Compliance</w:t>
      </w:r>
    </w:p>
    <w:p w:rsidR="00626AFC" w:rsidRDefault="00626AFC" w:rsidP="00626AFC">
      <w:pPr>
        <w:pStyle w:val="NormalWeb"/>
        <w:spacing w:before="240" w:beforeAutospacing="0" w:after="240" w:afterAutospacing="0"/>
      </w:pPr>
      <w:r>
        <w:rPr>
          <w:rFonts w:ascii="Arial" w:hAnsi="Arial" w:cs="Arial"/>
          <w:color w:val="000000"/>
          <w:sz w:val="22"/>
          <w:szCs w:val="22"/>
        </w:rPr>
        <w:t>GLP is beneficial for organizations across various industries, including:</w:t>
      </w:r>
    </w:p>
    <w:p w:rsidR="00626AFC" w:rsidRDefault="00626AFC" w:rsidP="00626AFC">
      <w:pPr>
        <w:pStyle w:val="NormalWeb"/>
        <w:numPr>
          <w:ilvl w:val="0"/>
          <w:numId w:val="3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Pharmaceutical companies</w:t>
      </w:r>
    </w:p>
    <w:p w:rsidR="00626AFC" w:rsidRDefault="00626AFC" w:rsidP="00626AFC">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Biotechnology organizations</w:t>
      </w:r>
    </w:p>
    <w:p w:rsidR="00626AFC" w:rsidRDefault="00626AFC" w:rsidP="00626AFC">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Chemical manufacturers</w:t>
      </w:r>
    </w:p>
    <w:p w:rsidR="00626AFC" w:rsidRDefault="00626AFC" w:rsidP="00626AFC">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Food testing laboratories</w:t>
      </w:r>
    </w:p>
    <w:p w:rsidR="00626AFC" w:rsidRDefault="00626AFC" w:rsidP="00626AFC">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Environmental testing laboratories</w:t>
      </w:r>
    </w:p>
    <w:p w:rsidR="00626AFC" w:rsidRDefault="00626AFC" w:rsidP="00626AFC">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Agricultural research institutions</w:t>
      </w:r>
    </w:p>
    <w:p w:rsidR="00626AFC" w:rsidRDefault="00626AFC" w:rsidP="00626AFC">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Contract Research Organizations (CROs)</w:t>
      </w:r>
    </w:p>
    <w:p w:rsidR="00626AFC" w:rsidRDefault="00626AFC" w:rsidP="00626AFC">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Universities and research centers</w:t>
      </w:r>
    </w:p>
    <w:p w:rsidR="00626AFC" w:rsidRDefault="00626AFC" w:rsidP="00626AFC">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Cosmetic testing laboratories</w:t>
      </w:r>
    </w:p>
    <w:p w:rsidR="00626AFC" w:rsidRDefault="00626AFC" w:rsidP="00626AFC">
      <w:pPr>
        <w:pStyle w:val="NormalWeb"/>
        <w:numPr>
          <w:ilvl w:val="0"/>
          <w:numId w:val="3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Government laboratories</w:t>
      </w:r>
    </w:p>
    <w:p w:rsidR="00626AFC" w:rsidRDefault="00626AFC" w:rsidP="00626AFC">
      <w:pPr>
        <w:pStyle w:val="NormalWeb"/>
        <w:spacing w:before="240" w:beforeAutospacing="0" w:after="240" w:afterAutospacing="0"/>
      </w:pPr>
      <w:r>
        <w:rPr>
          <w:rFonts w:ascii="Arial" w:hAnsi="Arial" w:cs="Arial"/>
          <w:color w:val="000000"/>
          <w:sz w:val="22"/>
          <w:szCs w:val="22"/>
        </w:rPr>
        <w:t>Any organization performing non-clinical laboratory studies can benefit from implementing GLP standards.</w:t>
      </w:r>
    </w:p>
    <w:p w:rsidR="00626AFC" w:rsidRDefault="00626AFC" w:rsidP="00626AFC">
      <w:pPr>
        <w:pStyle w:val="Heading2"/>
        <w:spacing w:before="360" w:beforeAutospacing="0" w:after="80" w:afterAutospacing="0"/>
      </w:pPr>
      <w:r>
        <w:rPr>
          <w:rFonts w:ascii="Arial" w:hAnsi="Arial" w:cs="Arial"/>
          <w:color w:val="000000"/>
          <w:sz w:val="34"/>
          <w:szCs w:val="34"/>
        </w:rPr>
        <w:t xml:space="preserve">Steps </w:t>
      </w:r>
      <w:proofErr w:type="gramStart"/>
      <w:r>
        <w:rPr>
          <w:rFonts w:ascii="Arial" w:hAnsi="Arial" w:cs="Arial"/>
          <w:color w:val="000000"/>
          <w:sz w:val="34"/>
          <w:szCs w:val="34"/>
        </w:rPr>
        <w:t>Toward</w:t>
      </w:r>
      <w:proofErr w:type="gramEnd"/>
      <w:r>
        <w:rPr>
          <w:rFonts w:ascii="Arial" w:hAnsi="Arial" w:cs="Arial"/>
          <w:color w:val="000000"/>
          <w:sz w:val="34"/>
          <w:szCs w:val="34"/>
        </w:rPr>
        <w:t xml:space="preserve"> GLP Compliance</w:t>
      </w:r>
    </w:p>
    <w:p w:rsidR="00626AFC" w:rsidRDefault="00626AFC" w:rsidP="00626AFC">
      <w:pPr>
        <w:pStyle w:val="NormalWeb"/>
        <w:spacing w:before="240" w:beforeAutospacing="0" w:after="240" w:afterAutospacing="0"/>
      </w:pPr>
      <w:r>
        <w:rPr>
          <w:rFonts w:ascii="Arial" w:hAnsi="Arial" w:cs="Arial"/>
          <w:color w:val="000000"/>
          <w:sz w:val="22"/>
          <w:szCs w:val="22"/>
        </w:rPr>
        <w:t>Organizations generally follow these steps to achieve GLP compliance:</w:t>
      </w:r>
    </w:p>
    <w:p w:rsidR="00626AFC" w:rsidRDefault="00626AFC" w:rsidP="00626AFC">
      <w:pPr>
        <w:pStyle w:val="NormalWeb"/>
        <w:numPr>
          <w:ilvl w:val="0"/>
          <w:numId w:val="3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Assess current laboratory practices against GLP requirements.</w:t>
      </w:r>
    </w:p>
    <w:p w:rsidR="00626AFC" w:rsidRDefault="00626AFC" w:rsidP="00626AFC">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Identify compliance gaps and areas for improvement.</w:t>
      </w:r>
    </w:p>
    <w:p w:rsidR="00626AFC" w:rsidRDefault="00626AFC" w:rsidP="00626AFC">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Develop and implement Standard Operating Procedures (SOPs).</w:t>
      </w:r>
    </w:p>
    <w:p w:rsidR="00626AFC" w:rsidRDefault="00626AFC" w:rsidP="00626AFC">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Train laboratory personnel on GLP requirements.</w:t>
      </w:r>
    </w:p>
    <w:p w:rsidR="00626AFC" w:rsidRDefault="00626AFC" w:rsidP="00626AFC">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Establish quality assurance systems and documentation controls.</w:t>
      </w:r>
    </w:p>
    <w:p w:rsidR="00626AFC" w:rsidRDefault="00626AFC" w:rsidP="00626AFC">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Conduct internal audits and corrective actions.</w:t>
      </w:r>
    </w:p>
    <w:p w:rsidR="00626AFC" w:rsidRDefault="00626AFC" w:rsidP="00626AFC">
      <w:pPr>
        <w:pStyle w:val="NormalWeb"/>
        <w:numPr>
          <w:ilvl w:val="0"/>
          <w:numId w:val="3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Undergo an independent compliance assessment or certification process.</w:t>
      </w:r>
    </w:p>
    <w:p w:rsidR="00626AFC" w:rsidRDefault="00626AFC" w:rsidP="00626AFC">
      <w:pPr>
        <w:pStyle w:val="NormalWeb"/>
        <w:spacing w:before="240" w:beforeAutospacing="0" w:after="240" w:afterAutospacing="0"/>
      </w:pPr>
      <w:r>
        <w:rPr>
          <w:rFonts w:ascii="Arial" w:hAnsi="Arial" w:cs="Arial"/>
          <w:color w:val="000000"/>
          <w:sz w:val="22"/>
          <w:szCs w:val="22"/>
        </w:rPr>
        <w:t>A structured implementation process helps organizations consistently maintain laboratory quality and regulatory compliance.</w:t>
      </w:r>
    </w:p>
    <w:p w:rsidR="00626AFC" w:rsidRDefault="00626AFC" w:rsidP="00626AFC">
      <w:pPr>
        <w:pStyle w:val="Heading2"/>
        <w:spacing w:before="360" w:beforeAutospacing="0" w:after="80" w:afterAutospacing="0"/>
      </w:pPr>
      <w:r>
        <w:rPr>
          <w:rFonts w:ascii="Arial" w:hAnsi="Arial" w:cs="Arial"/>
          <w:color w:val="000000"/>
          <w:sz w:val="34"/>
          <w:szCs w:val="34"/>
        </w:rPr>
        <w:t>Benefits of GLP Compliance</w:t>
      </w:r>
    </w:p>
    <w:p w:rsidR="00626AFC" w:rsidRDefault="00626AFC" w:rsidP="00626AFC">
      <w:pPr>
        <w:pStyle w:val="NormalWeb"/>
        <w:spacing w:before="240" w:beforeAutospacing="0" w:after="240" w:afterAutospacing="0"/>
      </w:pPr>
      <w:r>
        <w:rPr>
          <w:rFonts w:ascii="Arial" w:hAnsi="Arial" w:cs="Arial"/>
          <w:color w:val="000000"/>
          <w:sz w:val="22"/>
          <w:szCs w:val="22"/>
        </w:rPr>
        <w:t>Implementing GLP offers numerous long-term advantages, including:</w:t>
      </w:r>
    </w:p>
    <w:p w:rsidR="00626AFC" w:rsidRDefault="00626AFC" w:rsidP="00626AFC">
      <w:pPr>
        <w:pStyle w:val="NormalWeb"/>
        <w:numPr>
          <w:ilvl w:val="0"/>
          <w:numId w:val="3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laboratory accuracy and reliability.</w:t>
      </w:r>
    </w:p>
    <w:p w:rsidR="00626AFC" w:rsidRDefault="00626AFC" w:rsidP="00626AFC">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Enhanced regulatory acceptance.</w:t>
      </w:r>
    </w:p>
    <w:p w:rsidR="00626AFC" w:rsidRDefault="00626AFC" w:rsidP="00626AFC">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Better data integrity and traceability.</w:t>
      </w:r>
    </w:p>
    <w:p w:rsidR="00626AFC" w:rsidRDefault="00626AFC" w:rsidP="00626AFC">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Increased operational efficiency.</w:t>
      </w:r>
    </w:p>
    <w:p w:rsidR="00626AFC" w:rsidRDefault="00626AFC" w:rsidP="00626AFC">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Stronger customer and stakeholder confidence.</w:t>
      </w:r>
    </w:p>
    <w:p w:rsidR="00626AFC" w:rsidRDefault="00626AFC" w:rsidP="00626AFC">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Reduced risk of laboratory errors.</w:t>
      </w:r>
    </w:p>
    <w:p w:rsidR="00626AFC" w:rsidRDefault="00626AFC" w:rsidP="00626AFC">
      <w:pPr>
        <w:pStyle w:val="NormalWeb"/>
        <w:numPr>
          <w:ilvl w:val="0"/>
          <w:numId w:val="3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Greater opportunities for international business and research collaborations.</w:t>
      </w:r>
    </w:p>
    <w:p w:rsidR="00626AFC" w:rsidRDefault="00626AFC" w:rsidP="00626AFC">
      <w:pPr>
        <w:pStyle w:val="NormalWeb"/>
        <w:spacing w:before="240" w:beforeAutospacing="0" w:after="240" w:afterAutospacing="0"/>
      </w:pPr>
      <w:r>
        <w:rPr>
          <w:rFonts w:ascii="Arial" w:hAnsi="Arial" w:cs="Arial"/>
          <w:color w:val="000000"/>
          <w:sz w:val="22"/>
          <w:szCs w:val="22"/>
        </w:rPr>
        <w:t>These benefits help organizations achieve sustainable growth while maintaining high standards of scientific excellence.</w:t>
      </w:r>
    </w:p>
    <w:p w:rsidR="00626AFC" w:rsidRDefault="00626AFC" w:rsidP="00626AFC">
      <w:pPr>
        <w:pStyle w:val="Heading2"/>
        <w:spacing w:before="360" w:beforeAutospacing="0" w:after="80" w:afterAutospacing="0"/>
      </w:pPr>
      <w:r>
        <w:rPr>
          <w:rFonts w:ascii="Arial" w:hAnsi="Arial" w:cs="Arial"/>
          <w:color w:val="000000"/>
          <w:sz w:val="34"/>
          <w:szCs w:val="34"/>
        </w:rPr>
        <w:t>Conclusion</w:t>
      </w:r>
    </w:p>
    <w:p w:rsidR="00626AFC" w:rsidRDefault="00626AFC" w:rsidP="00626AFC">
      <w:pPr>
        <w:pStyle w:val="NormalWeb"/>
        <w:spacing w:before="240" w:beforeAutospacing="0" w:after="240" w:afterAutospacing="0"/>
      </w:pPr>
      <w:r>
        <w:rPr>
          <w:rFonts w:ascii="Arial" w:hAnsi="Arial" w:cs="Arial"/>
          <w:color w:val="000000"/>
          <w:sz w:val="22"/>
          <w:szCs w:val="22"/>
        </w:rPr>
        <w:t xml:space="preserve">As laboratory testing and scientific research become increasingly important across industries, maintaining quality and reliability is essential for long-term success. </w:t>
      </w:r>
      <w:hyperlink r:id="rId7" w:history="1">
        <w:r>
          <w:rPr>
            <w:rStyle w:val="Hyperlink"/>
            <w:rFonts w:ascii="Arial" w:hAnsi="Arial" w:cs="Arial"/>
            <w:b/>
            <w:bCs/>
            <w:color w:val="1155CC"/>
            <w:sz w:val="22"/>
            <w:szCs w:val="22"/>
          </w:rPr>
          <w:t>GLP Certification in Mongolia</w:t>
        </w:r>
        <w:r>
          <w:rPr>
            <w:rStyle w:val="Hyperlink"/>
            <w:rFonts w:ascii="Arial" w:hAnsi="Arial" w:cs="Arial"/>
            <w:color w:val="1155CC"/>
            <w:sz w:val="22"/>
            <w:szCs w:val="22"/>
          </w:rPr>
          <w:t xml:space="preserve"> </w:t>
        </w:r>
      </w:hyperlink>
      <w:r>
        <w:rPr>
          <w:rFonts w:ascii="Arial" w:hAnsi="Arial" w:cs="Arial"/>
          <w:color w:val="000000"/>
          <w:sz w:val="22"/>
          <w:szCs w:val="22"/>
        </w:rPr>
        <w:t>demonstrates an organization's commitment to internationally recognized laboratory practices, data integrity, and regulatory compliance. By implementing GLP principles, organizations can improve operational efficiency, strengthen customer confidence, reduce compliance risks, and expand opportunities in global markets. Investing in GLP compliance is not only about meeting quality standards—it is about building a culture of excellence, accountability, and continuous improvement in laboratory operations.</w:t>
      </w:r>
    </w:p>
    <w:p w:rsidR="008C5F33" w:rsidRPr="00626AFC" w:rsidRDefault="008C5F33" w:rsidP="00626AFC"/>
    <w:sectPr w:rsidR="008C5F33" w:rsidRPr="00626AFC" w:rsidSect="003D4E3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354DD"/>
    <w:multiLevelType w:val="multilevel"/>
    <w:tmpl w:val="B770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904BC"/>
    <w:multiLevelType w:val="multilevel"/>
    <w:tmpl w:val="9F22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D90417"/>
    <w:multiLevelType w:val="multilevel"/>
    <w:tmpl w:val="4A40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830744"/>
    <w:multiLevelType w:val="multilevel"/>
    <w:tmpl w:val="C8E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F756A2"/>
    <w:multiLevelType w:val="multilevel"/>
    <w:tmpl w:val="7F8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BA0558"/>
    <w:multiLevelType w:val="multilevel"/>
    <w:tmpl w:val="53E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F47827"/>
    <w:multiLevelType w:val="multilevel"/>
    <w:tmpl w:val="8960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D85C92"/>
    <w:multiLevelType w:val="multilevel"/>
    <w:tmpl w:val="2454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002A4A"/>
    <w:multiLevelType w:val="multilevel"/>
    <w:tmpl w:val="1568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585699"/>
    <w:multiLevelType w:val="multilevel"/>
    <w:tmpl w:val="F582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D037BC"/>
    <w:multiLevelType w:val="multilevel"/>
    <w:tmpl w:val="EA62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D25511"/>
    <w:multiLevelType w:val="multilevel"/>
    <w:tmpl w:val="7B08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705F78"/>
    <w:multiLevelType w:val="multilevel"/>
    <w:tmpl w:val="A926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B24F1E"/>
    <w:multiLevelType w:val="multilevel"/>
    <w:tmpl w:val="EB0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C20C3D"/>
    <w:multiLevelType w:val="multilevel"/>
    <w:tmpl w:val="4DC2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B75191"/>
    <w:multiLevelType w:val="multilevel"/>
    <w:tmpl w:val="B7B8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830EB4"/>
    <w:multiLevelType w:val="multilevel"/>
    <w:tmpl w:val="925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9D062E"/>
    <w:multiLevelType w:val="multilevel"/>
    <w:tmpl w:val="704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3A7EEF"/>
    <w:multiLevelType w:val="multilevel"/>
    <w:tmpl w:val="EC56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BE055D"/>
    <w:multiLevelType w:val="multilevel"/>
    <w:tmpl w:val="C982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D348F0"/>
    <w:multiLevelType w:val="multilevel"/>
    <w:tmpl w:val="C864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E60350"/>
    <w:multiLevelType w:val="multilevel"/>
    <w:tmpl w:val="9990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006C0D"/>
    <w:multiLevelType w:val="multilevel"/>
    <w:tmpl w:val="FCF0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893E30"/>
    <w:multiLevelType w:val="multilevel"/>
    <w:tmpl w:val="0EF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5A122C"/>
    <w:multiLevelType w:val="multilevel"/>
    <w:tmpl w:val="A466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DF1B7D"/>
    <w:multiLevelType w:val="multilevel"/>
    <w:tmpl w:val="7EE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7D6690"/>
    <w:multiLevelType w:val="multilevel"/>
    <w:tmpl w:val="C542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657E95"/>
    <w:multiLevelType w:val="multilevel"/>
    <w:tmpl w:val="DFF2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003402"/>
    <w:multiLevelType w:val="multilevel"/>
    <w:tmpl w:val="C56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D6360A"/>
    <w:multiLevelType w:val="multilevel"/>
    <w:tmpl w:val="D14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3B43DB"/>
    <w:multiLevelType w:val="multilevel"/>
    <w:tmpl w:val="F6F8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284485"/>
    <w:multiLevelType w:val="multilevel"/>
    <w:tmpl w:val="D6B0C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DD30AF9"/>
    <w:multiLevelType w:val="multilevel"/>
    <w:tmpl w:val="308A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C3971C2"/>
    <w:multiLevelType w:val="multilevel"/>
    <w:tmpl w:val="D446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D68595F"/>
    <w:multiLevelType w:val="multilevel"/>
    <w:tmpl w:val="C0E0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
  </w:num>
  <w:num w:numId="3">
    <w:abstractNumId w:val="30"/>
  </w:num>
  <w:num w:numId="4">
    <w:abstractNumId w:val="28"/>
  </w:num>
  <w:num w:numId="5">
    <w:abstractNumId w:val="8"/>
  </w:num>
  <w:num w:numId="6">
    <w:abstractNumId w:val="24"/>
  </w:num>
  <w:num w:numId="7">
    <w:abstractNumId w:val="7"/>
  </w:num>
  <w:num w:numId="8">
    <w:abstractNumId w:val="23"/>
  </w:num>
  <w:num w:numId="9">
    <w:abstractNumId w:val="15"/>
  </w:num>
  <w:num w:numId="10">
    <w:abstractNumId w:val="6"/>
  </w:num>
  <w:num w:numId="11">
    <w:abstractNumId w:val="27"/>
  </w:num>
  <w:num w:numId="12">
    <w:abstractNumId w:val="33"/>
  </w:num>
  <w:num w:numId="13">
    <w:abstractNumId w:val="25"/>
  </w:num>
  <w:num w:numId="14">
    <w:abstractNumId w:val="13"/>
  </w:num>
  <w:num w:numId="15">
    <w:abstractNumId w:val="14"/>
  </w:num>
  <w:num w:numId="16">
    <w:abstractNumId w:val="0"/>
  </w:num>
  <w:num w:numId="17">
    <w:abstractNumId w:val="32"/>
  </w:num>
  <w:num w:numId="18">
    <w:abstractNumId w:val="18"/>
  </w:num>
  <w:num w:numId="19">
    <w:abstractNumId w:val="34"/>
  </w:num>
  <w:num w:numId="20">
    <w:abstractNumId w:val="3"/>
  </w:num>
  <w:num w:numId="21">
    <w:abstractNumId w:val="29"/>
  </w:num>
  <w:num w:numId="22">
    <w:abstractNumId w:val="9"/>
  </w:num>
  <w:num w:numId="23">
    <w:abstractNumId w:val="10"/>
  </w:num>
  <w:num w:numId="24">
    <w:abstractNumId w:val="4"/>
  </w:num>
  <w:num w:numId="25">
    <w:abstractNumId w:val="12"/>
  </w:num>
  <w:num w:numId="26">
    <w:abstractNumId w:val="19"/>
  </w:num>
  <w:num w:numId="27">
    <w:abstractNumId w:val="22"/>
  </w:num>
  <w:num w:numId="28">
    <w:abstractNumId w:val="20"/>
  </w:num>
  <w:num w:numId="29">
    <w:abstractNumId w:val="2"/>
  </w:num>
  <w:num w:numId="30">
    <w:abstractNumId w:val="16"/>
  </w:num>
  <w:num w:numId="31">
    <w:abstractNumId w:val="21"/>
  </w:num>
  <w:num w:numId="32">
    <w:abstractNumId w:val="11"/>
  </w:num>
  <w:num w:numId="33">
    <w:abstractNumId w:val="5"/>
  </w:num>
  <w:num w:numId="34">
    <w:abstractNumId w:val="31"/>
  </w:num>
  <w:num w:numId="35">
    <w:abstractNumId w:val="17"/>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25D07"/>
    <w:rsid w:val="00036CD3"/>
    <w:rsid w:val="000419A2"/>
    <w:rsid w:val="00045EDD"/>
    <w:rsid w:val="0005159C"/>
    <w:rsid w:val="00053B6E"/>
    <w:rsid w:val="00070CAF"/>
    <w:rsid w:val="0007211B"/>
    <w:rsid w:val="0009171C"/>
    <w:rsid w:val="000B1CAB"/>
    <w:rsid w:val="000D6C9E"/>
    <w:rsid w:val="000E5E3E"/>
    <w:rsid w:val="000F29C6"/>
    <w:rsid w:val="000F68AA"/>
    <w:rsid w:val="000F7D95"/>
    <w:rsid w:val="0010461E"/>
    <w:rsid w:val="0011136D"/>
    <w:rsid w:val="001146FF"/>
    <w:rsid w:val="001351F8"/>
    <w:rsid w:val="00136693"/>
    <w:rsid w:val="00150DE6"/>
    <w:rsid w:val="00154FBB"/>
    <w:rsid w:val="001869F8"/>
    <w:rsid w:val="001929FE"/>
    <w:rsid w:val="001A60BB"/>
    <w:rsid w:val="001A7A7B"/>
    <w:rsid w:val="001E5653"/>
    <w:rsid w:val="00213F51"/>
    <w:rsid w:val="002205A0"/>
    <w:rsid w:val="00221937"/>
    <w:rsid w:val="00222F56"/>
    <w:rsid w:val="00244E25"/>
    <w:rsid w:val="0024793B"/>
    <w:rsid w:val="002613A1"/>
    <w:rsid w:val="002806E5"/>
    <w:rsid w:val="002E11A0"/>
    <w:rsid w:val="002E3FDD"/>
    <w:rsid w:val="00306C91"/>
    <w:rsid w:val="00315659"/>
    <w:rsid w:val="00320439"/>
    <w:rsid w:val="00331031"/>
    <w:rsid w:val="0034673C"/>
    <w:rsid w:val="0035589F"/>
    <w:rsid w:val="0037586C"/>
    <w:rsid w:val="00391C4A"/>
    <w:rsid w:val="003A2524"/>
    <w:rsid w:val="003A4B1C"/>
    <w:rsid w:val="003D38B6"/>
    <w:rsid w:val="003D4E31"/>
    <w:rsid w:val="003F32C3"/>
    <w:rsid w:val="003F48DE"/>
    <w:rsid w:val="00410D85"/>
    <w:rsid w:val="00415504"/>
    <w:rsid w:val="004170D0"/>
    <w:rsid w:val="00444137"/>
    <w:rsid w:val="00474EEA"/>
    <w:rsid w:val="00484D43"/>
    <w:rsid w:val="00494893"/>
    <w:rsid w:val="004A29BA"/>
    <w:rsid w:val="004A7C2F"/>
    <w:rsid w:val="004B2FA3"/>
    <w:rsid w:val="004B428D"/>
    <w:rsid w:val="004B587B"/>
    <w:rsid w:val="004C12D8"/>
    <w:rsid w:val="004C3657"/>
    <w:rsid w:val="004D1420"/>
    <w:rsid w:val="004E71E1"/>
    <w:rsid w:val="004F2EB8"/>
    <w:rsid w:val="004F4EE1"/>
    <w:rsid w:val="0050540D"/>
    <w:rsid w:val="00521254"/>
    <w:rsid w:val="005223EF"/>
    <w:rsid w:val="00530B65"/>
    <w:rsid w:val="00556456"/>
    <w:rsid w:val="00564DD6"/>
    <w:rsid w:val="00575F91"/>
    <w:rsid w:val="00576FEE"/>
    <w:rsid w:val="005770A1"/>
    <w:rsid w:val="00582F0E"/>
    <w:rsid w:val="0058422D"/>
    <w:rsid w:val="00593991"/>
    <w:rsid w:val="005A242B"/>
    <w:rsid w:val="005B356D"/>
    <w:rsid w:val="005F17D4"/>
    <w:rsid w:val="005F1863"/>
    <w:rsid w:val="005F4232"/>
    <w:rsid w:val="00612832"/>
    <w:rsid w:val="00614FC5"/>
    <w:rsid w:val="00626AFC"/>
    <w:rsid w:val="00632F0C"/>
    <w:rsid w:val="00650AB4"/>
    <w:rsid w:val="00657BBC"/>
    <w:rsid w:val="006612C1"/>
    <w:rsid w:val="00667AAB"/>
    <w:rsid w:val="00673404"/>
    <w:rsid w:val="0067746C"/>
    <w:rsid w:val="006B06D7"/>
    <w:rsid w:val="006B0853"/>
    <w:rsid w:val="006C5333"/>
    <w:rsid w:val="006F1B01"/>
    <w:rsid w:val="006F2971"/>
    <w:rsid w:val="007034E2"/>
    <w:rsid w:val="00731893"/>
    <w:rsid w:val="0073426A"/>
    <w:rsid w:val="007415EF"/>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25764"/>
    <w:rsid w:val="008400A1"/>
    <w:rsid w:val="00843DF4"/>
    <w:rsid w:val="008441BD"/>
    <w:rsid w:val="00847F92"/>
    <w:rsid w:val="008571A9"/>
    <w:rsid w:val="008707F8"/>
    <w:rsid w:val="00876825"/>
    <w:rsid w:val="0089412A"/>
    <w:rsid w:val="008A2885"/>
    <w:rsid w:val="008A6660"/>
    <w:rsid w:val="008B69B6"/>
    <w:rsid w:val="008C337E"/>
    <w:rsid w:val="008C3706"/>
    <w:rsid w:val="008C5F33"/>
    <w:rsid w:val="008E7136"/>
    <w:rsid w:val="00900B1C"/>
    <w:rsid w:val="009067A7"/>
    <w:rsid w:val="00931BFA"/>
    <w:rsid w:val="00945609"/>
    <w:rsid w:val="00946A17"/>
    <w:rsid w:val="009517D2"/>
    <w:rsid w:val="00955093"/>
    <w:rsid w:val="00956391"/>
    <w:rsid w:val="00957F0D"/>
    <w:rsid w:val="0096722B"/>
    <w:rsid w:val="00971148"/>
    <w:rsid w:val="009754FE"/>
    <w:rsid w:val="009B376C"/>
    <w:rsid w:val="009E34DA"/>
    <w:rsid w:val="009F14C2"/>
    <w:rsid w:val="00A166E0"/>
    <w:rsid w:val="00A4452C"/>
    <w:rsid w:val="00A45039"/>
    <w:rsid w:val="00A86268"/>
    <w:rsid w:val="00AA2AB3"/>
    <w:rsid w:val="00AB35ED"/>
    <w:rsid w:val="00AB5FA9"/>
    <w:rsid w:val="00AC077D"/>
    <w:rsid w:val="00AC1B33"/>
    <w:rsid w:val="00AC2DE7"/>
    <w:rsid w:val="00AD19E3"/>
    <w:rsid w:val="00AF0990"/>
    <w:rsid w:val="00AF54BB"/>
    <w:rsid w:val="00AF7004"/>
    <w:rsid w:val="00B132C2"/>
    <w:rsid w:val="00B24D87"/>
    <w:rsid w:val="00B33873"/>
    <w:rsid w:val="00B40812"/>
    <w:rsid w:val="00B57F7D"/>
    <w:rsid w:val="00B63163"/>
    <w:rsid w:val="00B6697B"/>
    <w:rsid w:val="00B82E53"/>
    <w:rsid w:val="00B83307"/>
    <w:rsid w:val="00B942DB"/>
    <w:rsid w:val="00BA5E0A"/>
    <w:rsid w:val="00BC7EBF"/>
    <w:rsid w:val="00BD1995"/>
    <w:rsid w:val="00BD5188"/>
    <w:rsid w:val="00C05522"/>
    <w:rsid w:val="00C32B3F"/>
    <w:rsid w:val="00C414D1"/>
    <w:rsid w:val="00C5322D"/>
    <w:rsid w:val="00C757A3"/>
    <w:rsid w:val="00C83800"/>
    <w:rsid w:val="00C86AC1"/>
    <w:rsid w:val="00CB33B0"/>
    <w:rsid w:val="00CD31EE"/>
    <w:rsid w:val="00CD4C35"/>
    <w:rsid w:val="00CF1113"/>
    <w:rsid w:val="00D05DA1"/>
    <w:rsid w:val="00D15A8D"/>
    <w:rsid w:val="00D34C17"/>
    <w:rsid w:val="00D41274"/>
    <w:rsid w:val="00D43ABD"/>
    <w:rsid w:val="00D535B7"/>
    <w:rsid w:val="00D62E08"/>
    <w:rsid w:val="00D6454A"/>
    <w:rsid w:val="00D80BD2"/>
    <w:rsid w:val="00D944F1"/>
    <w:rsid w:val="00D9799D"/>
    <w:rsid w:val="00DA1399"/>
    <w:rsid w:val="00DA5DE6"/>
    <w:rsid w:val="00DF7E6B"/>
    <w:rsid w:val="00E10249"/>
    <w:rsid w:val="00E10758"/>
    <w:rsid w:val="00E22336"/>
    <w:rsid w:val="00E23CE6"/>
    <w:rsid w:val="00E32354"/>
    <w:rsid w:val="00E424F5"/>
    <w:rsid w:val="00E54201"/>
    <w:rsid w:val="00E56363"/>
    <w:rsid w:val="00E83A6B"/>
    <w:rsid w:val="00E84E15"/>
    <w:rsid w:val="00E85C75"/>
    <w:rsid w:val="00E85F6F"/>
    <w:rsid w:val="00E97E57"/>
    <w:rsid w:val="00EA263B"/>
    <w:rsid w:val="00EC63DA"/>
    <w:rsid w:val="00ED01A0"/>
    <w:rsid w:val="00ED2181"/>
    <w:rsid w:val="00EE51ED"/>
    <w:rsid w:val="00EF56FA"/>
    <w:rsid w:val="00F075BB"/>
    <w:rsid w:val="00F12729"/>
    <w:rsid w:val="00F155A8"/>
    <w:rsid w:val="00F156D5"/>
    <w:rsid w:val="00F367BB"/>
    <w:rsid w:val="00F445EC"/>
    <w:rsid w:val="00F47287"/>
    <w:rsid w:val="00F563AF"/>
    <w:rsid w:val="00F77050"/>
    <w:rsid w:val="00F90604"/>
    <w:rsid w:val="00F934FF"/>
    <w:rsid w:val="00F979EB"/>
    <w:rsid w:val="00FA4491"/>
    <w:rsid w:val="00FA565C"/>
    <w:rsid w:val="00FB0327"/>
    <w:rsid w:val="00FB2FE5"/>
    <w:rsid w:val="00FB3680"/>
    <w:rsid w:val="00FD5BD3"/>
    <w:rsid w:val="00FD5D24"/>
    <w:rsid w:val="00FE348E"/>
    <w:rsid w:val="00FF0085"/>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glp-certification-in-mongol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glp-certification-in-mongoli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cp:lastModifiedBy>vidya</cp:lastModifiedBy>
  <cp:revision>2</cp:revision>
  <dcterms:created xsi:type="dcterms:W3CDTF">2026-07-06T06:08:00Z</dcterms:created>
  <dcterms:modified xsi:type="dcterms:W3CDTF">2026-07-06T06:08:00Z</dcterms:modified>
</cp:coreProperties>
</file>