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7A7" w:rsidRDefault="009067A7" w:rsidP="009067A7">
      <w:pPr>
        <w:pStyle w:val="Heading1"/>
        <w:spacing w:before="480" w:beforeAutospacing="0" w:after="120" w:afterAutospacing="0"/>
      </w:pPr>
      <w:r>
        <w:rPr>
          <w:rFonts w:ascii="Arial" w:hAnsi="Arial" w:cs="Arial"/>
          <w:color w:val="000000"/>
          <w:sz w:val="46"/>
          <w:szCs w:val="46"/>
        </w:rPr>
        <w:t xml:space="preserve">GDPR Certification in Mongolia: Building Trust </w:t>
      </w:r>
      <w:proofErr w:type="gramStart"/>
      <w:r>
        <w:rPr>
          <w:rFonts w:ascii="Arial" w:hAnsi="Arial" w:cs="Arial"/>
          <w:color w:val="000000"/>
          <w:sz w:val="46"/>
          <w:szCs w:val="46"/>
        </w:rPr>
        <w:t>Through</w:t>
      </w:r>
      <w:proofErr w:type="gramEnd"/>
      <w:r>
        <w:rPr>
          <w:rFonts w:ascii="Arial" w:hAnsi="Arial" w:cs="Arial"/>
          <w:color w:val="000000"/>
          <w:sz w:val="46"/>
          <w:szCs w:val="46"/>
        </w:rPr>
        <w:t xml:space="preserve"> Data Protection Compliance</w:t>
      </w:r>
    </w:p>
    <w:p w:rsidR="009067A7" w:rsidRDefault="009067A7" w:rsidP="009067A7">
      <w:pPr>
        <w:pStyle w:val="NormalWeb"/>
        <w:spacing w:before="240" w:beforeAutospacing="0" w:after="240" w:afterAutospacing="0"/>
      </w:pPr>
      <w:r>
        <w:rPr>
          <w:rFonts w:ascii="Arial" w:hAnsi="Arial" w:cs="Arial"/>
          <w:color w:val="000000"/>
          <w:sz w:val="22"/>
          <w:szCs w:val="22"/>
        </w:rPr>
        <w:t xml:space="preserve">In today's digital economy, organizations collect and process large amounts of personal data from customers, employees, suppliers, and business partners. Protecting this information has become a top priority as data privacy regulations continue to evolve worldwide. For businesses in Mongolia that serve customers in the European Union (EU) or handle the </w:t>
      </w:r>
      <w:proofErr w:type="gramStart"/>
      <w:r>
        <w:rPr>
          <w:rFonts w:ascii="Arial" w:hAnsi="Arial" w:cs="Arial"/>
          <w:color w:val="000000"/>
          <w:sz w:val="22"/>
          <w:szCs w:val="22"/>
        </w:rPr>
        <w:t>personal</w:t>
      </w:r>
      <w:proofErr w:type="gramEnd"/>
      <w:r>
        <w:rPr>
          <w:rFonts w:ascii="Arial" w:hAnsi="Arial" w:cs="Arial"/>
          <w:color w:val="000000"/>
          <w:sz w:val="22"/>
          <w:szCs w:val="22"/>
        </w:rPr>
        <w:t xml:space="preserve"> data of EU residents, complying with the </w:t>
      </w:r>
      <w:hyperlink r:id="rId6" w:history="1">
        <w:r>
          <w:rPr>
            <w:rStyle w:val="Hyperlink"/>
            <w:rFonts w:ascii="Arial" w:hAnsi="Arial" w:cs="Arial"/>
            <w:b/>
            <w:bCs/>
            <w:color w:val="1155CC"/>
            <w:sz w:val="22"/>
            <w:szCs w:val="22"/>
          </w:rPr>
          <w:t>General Data Protection Regulation (GDPR)</w:t>
        </w:r>
      </w:hyperlink>
      <w:r>
        <w:rPr>
          <w:rFonts w:ascii="Arial" w:hAnsi="Arial" w:cs="Arial"/>
          <w:color w:val="000000"/>
          <w:sz w:val="22"/>
          <w:szCs w:val="22"/>
        </w:rPr>
        <w:t xml:space="preserve"> is essential. While GDPR itself does not establish a single official certification program, organizations often pursue GDPR compliance assessments or certification schemes approved under the regulation to demonstrate their commitment to data protection and privacy.</w:t>
      </w:r>
    </w:p>
    <w:p w:rsidR="009067A7" w:rsidRDefault="009067A7" w:rsidP="009067A7">
      <w:pPr>
        <w:pStyle w:val="Heading2"/>
        <w:spacing w:before="360" w:beforeAutospacing="0" w:after="80" w:afterAutospacing="0"/>
      </w:pPr>
      <w:r>
        <w:rPr>
          <w:rFonts w:ascii="Arial" w:hAnsi="Arial" w:cs="Arial"/>
          <w:color w:val="000000"/>
          <w:sz w:val="34"/>
          <w:szCs w:val="34"/>
        </w:rPr>
        <w:t>What is GDPR?</w:t>
      </w:r>
    </w:p>
    <w:p w:rsidR="009067A7" w:rsidRDefault="009067A7" w:rsidP="009067A7">
      <w:pPr>
        <w:pStyle w:val="NormalWeb"/>
        <w:spacing w:before="240" w:beforeAutospacing="0" w:after="240" w:afterAutospacing="0"/>
      </w:pPr>
      <w:r>
        <w:rPr>
          <w:rFonts w:ascii="Arial" w:hAnsi="Arial" w:cs="Arial"/>
          <w:color w:val="000000"/>
          <w:sz w:val="22"/>
          <w:szCs w:val="22"/>
        </w:rPr>
        <w:t xml:space="preserve">The </w:t>
      </w:r>
      <w:r>
        <w:rPr>
          <w:rFonts w:ascii="Arial" w:hAnsi="Arial" w:cs="Arial"/>
          <w:b/>
          <w:bCs/>
          <w:color w:val="000000"/>
          <w:sz w:val="22"/>
          <w:szCs w:val="22"/>
        </w:rPr>
        <w:t>General Data Protection Regulation (GDPR)</w:t>
      </w:r>
      <w:r>
        <w:rPr>
          <w:rFonts w:ascii="Arial" w:hAnsi="Arial" w:cs="Arial"/>
          <w:color w:val="000000"/>
          <w:sz w:val="22"/>
          <w:szCs w:val="22"/>
        </w:rPr>
        <w:t xml:space="preserve"> is a comprehensive data protection law introduced by the European Union to safeguard the personal information of individuals. It came into effect on </w:t>
      </w:r>
      <w:r>
        <w:rPr>
          <w:rFonts w:ascii="Arial" w:hAnsi="Arial" w:cs="Arial"/>
          <w:b/>
          <w:bCs/>
          <w:color w:val="000000"/>
          <w:sz w:val="22"/>
          <w:szCs w:val="22"/>
        </w:rPr>
        <w:t>25 May 2018</w:t>
      </w:r>
      <w:r>
        <w:rPr>
          <w:rFonts w:ascii="Arial" w:hAnsi="Arial" w:cs="Arial"/>
          <w:color w:val="000000"/>
          <w:sz w:val="22"/>
          <w:szCs w:val="22"/>
        </w:rPr>
        <w:t xml:space="preserve"> and applies to organizations that collect, store, process, or transfer the personal data of EU residents, regardless of where the organization is located.</w:t>
      </w:r>
    </w:p>
    <w:p w:rsidR="009067A7" w:rsidRDefault="009067A7" w:rsidP="009067A7">
      <w:pPr>
        <w:pStyle w:val="NormalWeb"/>
        <w:spacing w:before="240" w:beforeAutospacing="0" w:after="240" w:afterAutospacing="0"/>
      </w:pPr>
      <w:r>
        <w:rPr>
          <w:rFonts w:ascii="Arial" w:hAnsi="Arial" w:cs="Arial"/>
          <w:color w:val="000000"/>
          <w:sz w:val="22"/>
          <w:szCs w:val="22"/>
        </w:rPr>
        <w:t>For companies in Mongolia that provide products or services to EU customers, GDPR compliance is not just a legal requirement—it is also a valuable way to build trust and strengthen international business relationships.</w:t>
      </w:r>
    </w:p>
    <w:p w:rsidR="009067A7" w:rsidRDefault="009067A7" w:rsidP="009067A7">
      <w:pPr>
        <w:pStyle w:val="Heading2"/>
        <w:spacing w:before="360" w:beforeAutospacing="0" w:after="80" w:afterAutospacing="0"/>
      </w:pPr>
      <w:r>
        <w:rPr>
          <w:rFonts w:ascii="Arial" w:hAnsi="Arial" w:cs="Arial"/>
          <w:color w:val="000000"/>
          <w:sz w:val="34"/>
          <w:szCs w:val="34"/>
        </w:rPr>
        <w:t>Why is GDPR Compliance Important in Mongolia?</w:t>
      </w:r>
    </w:p>
    <w:p w:rsidR="009067A7" w:rsidRDefault="009067A7" w:rsidP="009067A7">
      <w:pPr>
        <w:pStyle w:val="NormalWeb"/>
        <w:spacing w:before="240" w:beforeAutospacing="0" w:after="240" w:afterAutospacing="0"/>
      </w:pPr>
      <w:r>
        <w:rPr>
          <w:rFonts w:ascii="Arial" w:hAnsi="Arial" w:cs="Arial"/>
          <w:color w:val="000000"/>
          <w:sz w:val="22"/>
          <w:szCs w:val="22"/>
        </w:rPr>
        <w:t>As digital transformation accelerates across industries, many Mongolian businesses engage with international clients through e-commerce, cloud services, software development, outsourcing, and online platforms. If these businesses process the personal data of EU residents, they must comply with GDPR requirements.</w:t>
      </w:r>
    </w:p>
    <w:p w:rsidR="009067A7" w:rsidRDefault="009067A7" w:rsidP="009067A7">
      <w:pPr>
        <w:pStyle w:val="NormalWeb"/>
        <w:spacing w:before="240" w:beforeAutospacing="0" w:after="240" w:afterAutospacing="0"/>
      </w:pPr>
      <w:r>
        <w:rPr>
          <w:rFonts w:ascii="Arial" w:hAnsi="Arial" w:cs="Arial"/>
          <w:color w:val="000000"/>
          <w:sz w:val="22"/>
          <w:szCs w:val="22"/>
        </w:rPr>
        <w:t>GDPR compliance helps organizations:</w:t>
      </w:r>
    </w:p>
    <w:p w:rsidR="009067A7" w:rsidRDefault="009067A7" w:rsidP="009067A7">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 customer and employee personal information.</w:t>
      </w:r>
    </w:p>
    <w:p w:rsidR="009067A7" w:rsidRDefault="009067A7" w:rsidP="009067A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Demonstrate commitment to data privacy and security.</w:t>
      </w:r>
    </w:p>
    <w:p w:rsidR="009067A7" w:rsidRDefault="009067A7" w:rsidP="009067A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Build trust with international customers and business partners.</w:t>
      </w:r>
    </w:p>
    <w:p w:rsidR="009067A7" w:rsidRDefault="009067A7" w:rsidP="009067A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 the risk of data breaches and regulatory penalties.</w:t>
      </w:r>
    </w:p>
    <w:p w:rsidR="009067A7" w:rsidRDefault="009067A7" w:rsidP="009067A7">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 corporate reputation and accountability.</w:t>
      </w:r>
    </w:p>
    <w:p w:rsidR="009067A7" w:rsidRDefault="009067A7" w:rsidP="009067A7">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Support business expansion into European markets.</w:t>
      </w:r>
    </w:p>
    <w:p w:rsidR="009067A7" w:rsidRDefault="009067A7" w:rsidP="009067A7">
      <w:pPr>
        <w:pStyle w:val="NormalWeb"/>
        <w:spacing w:before="240" w:beforeAutospacing="0" w:after="240" w:afterAutospacing="0"/>
      </w:pPr>
      <w:r>
        <w:rPr>
          <w:rFonts w:ascii="Arial" w:hAnsi="Arial" w:cs="Arial"/>
          <w:color w:val="000000"/>
          <w:sz w:val="22"/>
          <w:szCs w:val="22"/>
        </w:rPr>
        <w:t>By implementing GDPR principles, organizations create a stronger foundation for responsible data management.</w:t>
      </w:r>
    </w:p>
    <w:p w:rsidR="009067A7" w:rsidRDefault="009067A7" w:rsidP="009067A7">
      <w:pPr>
        <w:pStyle w:val="Heading2"/>
        <w:spacing w:before="360" w:beforeAutospacing="0" w:after="80" w:afterAutospacing="0"/>
      </w:pPr>
      <w:r>
        <w:rPr>
          <w:rFonts w:ascii="Arial" w:hAnsi="Arial" w:cs="Arial"/>
          <w:color w:val="000000"/>
          <w:sz w:val="34"/>
          <w:szCs w:val="34"/>
        </w:rPr>
        <w:t>Key Principles of GDPR</w:t>
      </w:r>
    </w:p>
    <w:p w:rsidR="009067A7" w:rsidRDefault="009067A7" w:rsidP="009067A7">
      <w:pPr>
        <w:pStyle w:val="NormalWeb"/>
        <w:spacing w:before="240" w:beforeAutospacing="0" w:after="240" w:afterAutospacing="0"/>
      </w:pPr>
      <w:r>
        <w:rPr>
          <w:rFonts w:ascii="Arial" w:hAnsi="Arial" w:cs="Arial"/>
          <w:color w:val="000000"/>
          <w:sz w:val="22"/>
          <w:szCs w:val="22"/>
        </w:rPr>
        <w:lastRenderedPageBreak/>
        <w:t>GDPR is based on several core principles that guide how organizations should process personal data:</w:t>
      </w:r>
    </w:p>
    <w:p w:rsidR="009067A7" w:rsidRDefault="009067A7" w:rsidP="009067A7">
      <w:pPr>
        <w:pStyle w:val="NormalWeb"/>
        <w:numPr>
          <w:ilvl w:val="0"/>
          <w:numId w:val="2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Lawfulness, fairness, and transparency.</w:t>
      </w:r>
    </w:p>
    <w:p w:rsidR="009067A7" w:rsidRDefault="009067A7" w:rsidP="009067A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Purpose limitation.</w:t>
      </w:r>
    </w:p>
    <w:p w:rsidR="009067A7" w:rsidRDefault="009067A7" w:rsidP="009067A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minimization.</w:t>
      </w:r>
    </w:p>
    <w:p w:rsidR="009067A7" w:rsidRDefault="009067A7" w:rsidP="009067A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Accuracy of personal data.</w:t>
      </w:r>
    </w:p>
    <w:p w:rsidR="009067A7" w:rsidRDefault="009067A7" w:rsidP="009067A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Storage limitation.</w:t>
      </w:r>
    </w:p>
    <w:p w:rsidR="009067A7" w:rsidRDefault="009067A7" w:rsidP="009067A7">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Integrity and confidentiality.</w:t>
      </w:r>
    </w:p>
    <w:p w:rsidR="009067A7" w:rsidRDefault="009067A7" w:rsidP="009067A7">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Accountability.</w:t>
      </w:r>
    </w:p>
    <w:p w:rsidR="009067A7" w:rsidRDefault="009067A7" w:rsidP="009067A7">
      <w:pPr>
        <w:pStyle w:val="NormalWeb"/>
        <w:spacing w:before="240" w:beforeAutospacing="0" w:after="240" w:afterAutospacing="0"/>
      </w:pPr>
      <w:r>
        <w:rPr>
          <w:rFonts w:ascii="Arial" w:hAnsi="Arial" w:cs="Arial"/>
          <w:color w:val="000000"/>
          <w:sz w:val="22"/>
          <w:szCs w:val="22"/>
        </w:rPr>
        <w:t>These principles ensure that personal information is handled responsibly throughout its lifecycle.</w:t>
      </w:r>
    </w:p>
    <w:p w:rsidR="009067A7" w:rsidRDefault="009067A7" w:rsidP="009067A7">
      <w:pPr>
        <w:pStyle w:val="Heading2"/>
        <w:spacing w:before="360" w:beforeAutospacing="0" w:after="80" w:afterAutospacing="0"/>
      </w:pPr>
      <w:r>
        <w:rPr>
          <w:rFonts w:ascii="Arial" w:hAnsi="Arial" w:cs="Arial"/>
          <w:color w:val="000000"/>
          <w:sz w:val="34"/>
          <w:szCs w:val="34"/>
        </w:rPr>
        <w:t>Organizations That Can Benefit from GDPR Compliance</w:t>
      </w:r>
    </w:p>
    <w:p w:rsidR="009067A7" w:rsidRDefault="009067A7" w:rsidP="009067A7">
      <w:pPr>
        <w:pStyle w:val="NormalWeb"/>
        <w:spacing w:before="240" w:beforeAutospacing="0" w:after="240" w:afterAutospacing="0"/>
      </w:pPr>
      <w:r>
        <w:rPr>
          <w:rFonts w:ascii="Arial" w:hAnsi="Arial" w:cs="Arial"/>
          <w:color w:val="000000"/>
          <w:sz w:val="22"/>
          <w:szCs w:val="22"/>
        </w:rPr>
        <w:t>GDPR is relevant for organizations across various sectors, including:</w:t>
      </w:r>
    </w:p>
    <w:p w:rsidR="009067A7" w:rsidRDefault="009067A7" w:rsidP="009067A7">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Information technology companies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Software development firms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E-commerce businesses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Financial institutions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organizations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Educational institutions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Digital marketing agencies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 process outsourcing (BPO) providers</w:t>
      </w:r>
    </w:p>
    <w:p w:rsidR="009067A7" w:rsidRDefault="009067A7" w:rsidP="009067A7">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Cloud service providers</w:t>
      </w:r>
    </w:p>
    <w:p w:rsidR="009067A7" w:rsidRDefault="009067A7" w:rsidP="009067A7">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Any organization handling the personal data of EU residents</w:t>
      </w:r>
    </w:p>
    <w:p w:rsidR="009067A7" w:rsidRDefault="009067A7" w:rsidP="009067A7">
      <w:pPr>
        <w:pStyle w:val="NormalWeb"/>
        <w:spacing w:before="240" w:beforeAutospacing="0" w:after="240" w:afterAutospacing="0"/>
      </w:pPr>
      <w:r>
        <w:rPr>
          <w:rFonts w:ascii="Arial" w:hAnsi="Arial" w:cs="Arial"/>
          <w:color w:val="000000"/>
          <w:sz w:val="22"/>
          <w:szCs w:val="22"/>
        </w:rPr>
        <w:t>Regardless of size, organizations that process personal information can benefit from implementing GDPR best practices.</w:t>
      </w:r>
    </w:p>
    <w:p w:rsidR="009067A7" w:rsidRDefault="009067A7" w:rsidP="009067A7">
      <w:pPr>
        <w:pStyle w:val="Heading2"/>
        <w:spacing w:before="360" w:beforeAutospacing="0" w:after="80" w:afterAutospacing="0"/>
      </w:pPr>
      <w:r>
        <w:rPr>
          <w:rFonts w:ascii="Arial" w:hAnsi="Arial" w:cs="Arial"/>
          <w:color w:val="000000"/>
          <w:sz w:val="34"/>
          <w:szCs w:val="34"/>
        </w:rPr>
        <w:t xml:space="preserve">Steps </w:t>
      </w:r>
      <w:proofErr w:type="gramStart"/>
      <w:r>
        <w:rPr>
          <w:rFonts w:ascii="Arial" w:hAnsi="Arial" w:cs="Arial"/>
          <w:color w:val="000000"/>
          <w:sz w:val="34"/>
          <w:szCs w:val="34"/>
        </w:rPr>
        <w:t>Toward</w:t>
      </w:r>
      <w:proofErr w:type="gramEnd"/>
      <w:r>
        <w:rPr>
          <w:rFonts w:ascii="Arial" w:hAnsi="Arial" w:cs="Arial"/>
          <w:color w:val="000000"/>
          <w:sz w:val="34"/>
          <w:szCs w:val="34"/>
        </w:rPr>
        <w:t xml:space="preserve"> GDPR Compliance</w:t>
      </w:r>
    </w:p>
    <w:p w:rsidR="009067A7" w:rsidRDefault="009067A7" w:rsidP="009067A7">
      <w:pPr>
        <w:pStyle w:val="NormalWeb"/>
        <w:spacing w:before="240" w:beforeAutospacing="0" w:after="240" w:afterAutospacing="0"/>
      </w:pPr>
      <w:r>
        <w:rPr>
          <w:rFonts w:ascii="Arial" w:hAnsi="Arial" w:cs="Arial"/>
          <w:color w:val="000000"/>
          <w:sz w:val="22"/>
          <w:szCs w:val="22"/>
        </w:rPr>
        <w:t>Organizations typically follow these steps to achieve GDPR compliance:</w:t>
      </w:r>
    </w:p>
    <w:p w:rsidR="009067A7" w:rsidRDefault="009067A7" w:rsidP="009067A7">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the personal data collected and processed.</w:t>
      </w:r>
    </w:p>
    <w:p w:rsidR="009067A7" w:rsidRDefault="009067A7" w:rsidP="009067A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Conduct a data protection and privacy gap assessment.</w:t>
      </w:r>
    </w:p>
    <w:p w:rsidR="009067A7" w:rsidRDefault="009067A7" w:rsidP="009067A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privacy policies and data handling procedures.</w:t>
      </w:r>
    </w:p>
    <w:p w:rsidR="009067A7" w:rsidRDefault="009067A7" w:rsidP="009067A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 appropriate technical and organizational security measures.</w:t>
      </w:r>
    </w:p>
    <w:p w:rsidR="009067A7" w:rsidRDefault="009067A7" w:rsidP="009067A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Train employees on GDPR requirements and data protection practices.</w:t>
      </w:r>
    </w:p>
    <w:p w:rsidR="009067A7" w:rsidRDefault="009067A7" w:rsidP="009067A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Establish procedures for handling data subject rights and data breach notifications.</w:t>
      </w:r>
    </w:p>
    <w:p w:rsidR="009067A7" w:rsidRDefault="009067A7" w:rsidP="009067A7">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Perform regular audits and continuously improve privacy controls.</w:t>
      </w:r>
    </w:p>
    <w:p w:rsidR="009067A7" w:rsidRDefault="009067A7" w:rsidP="009067A7">
      <w:pPr>
        <w:pStyle w:val="NormalWeb"/>
        <w:spacing w:before="240" w:beforeAutospacing="0" w:after="240" w:afterAutospacing="0"/>
      </w:pPr>
      <w:r>
        <w:rPr>
          <w:rFonts w:ascii="Arial" w:hAnsi="Arial" w:cs="Arial"/>
          <w:color w:val="000000"/>
          <w:sz w:val="22"/>
          <w:szCs w:val="22"/>
        </w:rPr>
        <w:t>A structured approach helps organizations maintain compliance as their operations and regulatory requirements evolve.</w:t>
      </w:r>
    </w:p>
    <w:p w:rsidR="009067A7" w:rsidRDefault="009067A7" w:rsidP="009067A7">
      <w:pPr>
        <w:pStyle w:val="Heading2"/>
        <w:spacing w:before="360" w:beforeAutospacing="0" w:after="80" w:afterAutospacing="0"/>
      </w:pPr>
      <w:r>
        <w:rPr>
          <w:rFonts w:ascii="Arial" w:hAnsi="Arial" w:cs="Arial"/>
          <w:color w:val="000000"/>
          <w:sz w:val="34"/>
          <w:szCs w:val="34"/>
        </w:rPr>
        <w:t>Benefits of GDPR Compliance</w:t>
      </w:r>
    </w:p>
    <w:p w:rsidR="009067A7" w:rsidRDefault="009067A7" w:rsidP="009067A7">
      <w:pPr>
        <w:pStyle w:val="NormalWeb"/>
        <w:spacing w:before="240" w:beforeAutospacing="0" w:after="240" w:afterAutospacing="0"/>
      </w:pPr>
      <w:r>
        <w:rPr>
          <w:rFonts w:ascii="Arial" w:hAnsi="Arial" w:cs="Arial"/>
          <w:color w:val="000000"/>
          <w:sz w:val="22"/>
          <w:szCs w:val="22"/>
        </w:rPr>
        <w:t>Implementing GDPR requirements offers several long-term advantages, including:</w:t>
      </w:r>
    </w:p>
    <w:p w:rsidR="009067A7" w:rsidRDefault="009067A7" w:rsidP="009067A7">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customer confidence.</w:t>
      </w:r>
    </w:p>
    <w:p w:rsidR="009067A7" w:rsidRDefault="009067A7" w:rsidP="009067A7">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Stronger information security practices.</w:t>
      </w:r>
    </w:p>
    <w:p w:rsidR="009067A7" w:rsidRDefault="009067A7" w:rsidP="009067A7">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legal and compliance risks.</w:t>
      </w:r>
    </w:p>
    <w:p w:rsidR="009067A7" w:rsidRDefault="009067A7" w:rsidP="009067A7">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governance of personal data.</w:t>
      </w:r>
    </w:p>
    <w:p w:rsidR="009067A7" w:rsidRDefault="009067A7" w:rsidP="009067A7">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business opportunities with European clients.</w:t>
      </w:r>
    </w:p>
    <w:p w:rsidR="009067A7" w:rsidRDefault="009067A7" w:rsidP="009067A7">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transparency and accountability.</w:t>
      </w:r>
    </w:p>
    <w:p w:rsidR="009067A7" w:rsidRDefault="009067A7" w:rsidP="009067A7">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Competitive advantage in global markets.</w:t>
      </w:r>
    </w:p>
    <w:p w:rsidR="009067A7" w:rsidRDefault="009067A7" w:rsidP="009067A7">
      <w:pPr>
        <w:pStyle w:val="NormalWeb"/>
        <w:spacing w:before="240" w:beforeAutospacing="0" w:after="240" w:afterAutospacing="0"/>
      </w:pPr>
      <w:r>
        <w:rPr>
          <w:rFonts w:ascii="Arial" w:hAnsi="Arial" w:cs="Arial"/>
          <w:color w:val="000000"/>
          <w:sz w:val="22"/>
          <w:szCs w:val="22"/>
        </w:rPr>
        <w:t>These benefits contribute to sustainable business growth while protecting the privacy rights of individuals.</w:t>
      </w:r>
    </w:p>
    <w:p w:rsidR="009067A7" w:rsidRDefault="009067A7" w:rsidP="009067A7">
      <w:pPr>
        <w:pStyle w:val="Heading2"/>
        <w:spacing w:before="360" w:beforeAutospacing="0" w:after="80" w:afterAutospacing="0"/>
      </w:pPr>
      <w:r>
        <w:rPr>
          <w:rFonts w:ascii="Arial" w:hAnsi="Arial" w:cs="Arial"/>
          <w:color w:val="000000"/>
          <w:sz w:val="34"/>
          <w:szCs w:val="34"/>
        </w:rPr>
        <w:t>Conclusion</w:t>
      </w:r>
    </w:p>
    <w:p w:rsidR="009067A7" w:rsidRDefault="009067A7" w:rsidP="009067A7">
      <w:pPr>
        <w:pStyle w:val="NormalWeb"/>
        <w:spacing w:before="240" w:beforeAutospacing="0" w:after="240" w:afterAutospacing="0"/>
      </w:pPr>
      <w:r>
        <w:rPr>
          <w:rFonts w:ascii="Arial" w:hAnsi="Arial" w:cs="Arial"/>
          <w:color w:val="000000"/>
          <w:sz w:val="22"/>
          <w:szCs w:val="22"/>
        </w:rPr>
        <w:t xml:space="preserve">As businesses in Mongolia increasingly participate in the global digital economy, protecting personal data has become a business necessity. </w:t>
      </w:r>
      <w:hyperlink r:id="rId7" w:history="1">
        <w:r>
          <w:rPr>
            <w:rStyle w:val="Hyperlink"/>
            <w:rFonts w:ascii="Arial" w:hAnsi="Arial" w:cs="Arial"/>
            <w:b/>
            <w:bCs/>
            <w:color w:val="1155CC"/>
            <w:sz w:val="22"/>
            <w:szCs w:val="22"/>
          </w:rPr>
          <w:t>GDPR</w:t>
        </w:r>
      </w:hyperlink>
      <w:r>
        <w:rPr>
          <w:rFonts w:ascii="Arial" w:hAnsi="Arial" w:cs="Arial"/>
          <w:b/>
          <w:bCs/>
          <w:color w:val="000000"/>
          <w:sz w:val="22"/>
          <w:szCs w:val="22"/>
        </w:rPr>
        <w:t xml:space="preserve"> </w:t>
      </w:r>
      <w:r>
        <w:rPr>
          <w:rFonts w:ascii="Arial" w:hAnsi="Arial" w:cs="Arial"/>
          <w:color w:val="000000"/>
          <w:sz w:val="22"/>
          <w:szCs w:val="22"/>
        </w:rPr>
        <w:t>compliance demonstrates an organization's commitment to privacy, transparency, and responsible data management. By adopting GDPR principles and implementing effective data protection measures, companies can strengthen customer trust, reduce compliance risks, and expand confidently into international markets. Investing in GDPR compliance is not only about meeting legal obligations—it is about creating a secure and trustworthy environment for customers, partners, and stakeholders.</w:t>
      </w:r>
    </w:p>
    <w:p w:rsidR="008C5F33" w:rsidRPr="009067A7" w:rsidRDefault="008C5F33" w:rsidP="009067A7"/>
    <w:sectPr w:rsidR="008C5F33" w:rsidRPr="009067A7" w:rsidSect="003D4E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354DD"/>
    <w:multiLevelType w:val="multilevel"/>
    <w:tmpl w:val="B77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904BC"/>
    <w:multiLevelType w:val="multilevel"/>
    <w:tmpl w:val="9F2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90417"/>
    <w:multiLevelType w:val="multilevel"/>
    <w:tmpl w:val="4A40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830744"/>
    <w:multiLevelType w:val="multilevel"/>
    <w:tmpl w:val="C8E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756A2"/>
    <w:multiLevelType w:val="multilevel"/>
    <w:tmpl w:val="7F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F47827"/>
    <w:multiLevelType w:val="multilevel"/>
    <w:tmpl w:val="896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D85C92"/>
    <w:multiLevelType w:val="multilevel"/>
    <w:tmpl w:val="2454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002A4A"/>
    <w:multiLevelType w:val="multilevel"/>
    <w:tmpl w:val="1568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585699"/>
    <w:multiLevelType w:val="multilevel"/>
    <w:tmpl w:val="F58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D037BC"/>
    <w:multiLevelType w:val="multilevel"/>
    <w:tmpl w:val="EA6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05F78"/>
    <w:multiLevelType w:val="multilevel"/>
    <w:tmpl w:val="A92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B24F1E"/>
    <w:multiLevelType w:val="multilevel"/>
    <w:tmpl w:val="EB0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C20C3D"/>
    <w:multiLevelType w:val="multilevel"/>
    <w:tmpl w:val="4DC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B75191"/>
    <w:multiLevelType w:val="multilevel"/>
    <w:tmpl w:val="B7B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830EB4"/>
    <w:multiLevelType w:val="multilevel"/>
    <w:tmpl w:val="925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3A7EEF"/>
    <w:multiLevelType w:val="multilevel"/>
    <w:tmpl w:val="EC56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BE055D"/>
    <w:multiLevelType w:val="multilevel"/>
    <w:tmpl w:val="C982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D348F0"/>
    <w:multiLevelType w:val="multilevel"/>
    <w:tmpl w:val="C86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006C0D"/>
    <w:multiLevelType w:val="multilevel"/>
    <w:tmpl w:val="FCF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893E30"/>
    <w:multiLevelType w:val="multilevel"/>
    <w:tmpl w:val="0EF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5A122C"/>
    <w:multiLevelType w:val="multilevel"/>
    <w:tmpl w:val="A46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DF1B7D"/>
    <w:multiLevelType w:val="multilevel"/>
    <w:tmpl w:val="7EE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7D6690"/>
    <w:multiLevelType w:val="multilevel"/>
    <w:tmpl w:val="C54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657E95"/>
    <w:multiLevelType w:val="multilevel"/>
    <w:tmpl w:val="DFF2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003402"/>
    <w:multiLevelType w:val="multilevel"/>
    <w:tmpl w:val="C56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D6360A"/>
    <w:multiLevelType w:val="multilevel"/>
    <w:tmpl w:val="D14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3B43DB"/>
    <w:multiLevelType w:val="multilevel"/>
    <w:tmpl w:val="F6F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D30AF9"/>
    <w:multiLevelType w:val="multilevel"/>
    <w:tmpl w:val="308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3971C2"/>
    <w:multiLevelType w:val="multilevel"/>
    <w:tmpl w:val="D446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68595F"/>
    <w:multiLevelType w:val="multilevel"/>
    <w:tmpl w:val="C0E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
  </w:num>
  <w:num w:numId="3">
    <w:abstractNumId w:val="26"/>
  </w:num>
  <w:num w:numId="4">
    <w:abstractNumId w:val="24"/>
  </w:num>
  <w:num w:numId="5">
    <w:abstractNumId w:val="7"/>
  </w:num>
  <w:num w:numId="6">
    <w:abstractNumId w:val="20"/>
  </w:num>
  <w:num w:numId="7">
    <w:abstractNumId w:val="6"/>
  </w:num>
  <w:num w:numId="8">
    <w:abstractNumId w:val="19"/>
  </w:num>
  <w:num w:numId="9">
    <w:abstractNumId w:val="13"/>
  </w:num>
  <w:num w:numId="10">
    <w:abstractNumId w:val="5"/>
  </w:num>
  <w:num w:numId="11">
    <w:abstractNumId w:val="23"/>
  </w:num>
  <w:num w:numId="12">
    <w:abstractNumId w:val="28"/>
  </w:num>
  <w:num w:numId="13">
    <w:abstractNumId w:val="21"/>
  </w:num>
  <w:num w:numId="14">
    <w:abstractNumId w:val="11"/>
  </w:num>
  <w:num w:numId="15">
    <w:abstractNumId w:val="12"/>
  </w:num>
  <w:num w:numId="16">
    <w:abstractNumId w:val="0"/>
  </w:num>
  <w:num w:numId="17">
    <w:abstractNumId w:val="27"/>
  </w:num>
  <w:num w:numId="18">
    <w:abstractNumId w:val="15"/>
  </w:num>
  <w:num w:numId="19">
    <w:abstractNumId w:val="29"/>
  </w:num>
  <w:num w:numId="20">
    <w:abstractNumId w:val="3"/>
  </w:num>
  <w:num w:numId="21">
    <w:abstractNumId w:val="25"/>
  </w:num>
  <w:num w:numId="22">
    <w:abstractNumId w:val="8"/>
  </w:num>
  <w:num w:numId="23">
    <w:abstractNumId w:val="9"/>
  </w:num>
  <w:num w:numId="24">
    <w:abstractNumId w:val="4"/>
  </w:num>
  <w:num w:numId="25">
    <w:abstractNumId w:val="10"/>
  </w:num>
  <w:num w:numId="26">
    <w:abstractNumId w:val="16"/>
  </w:num>
  <w:num w:numId="27">
    <w:abstractNumId w:val="18"/>
  </w:num>
  <w:num w:numId="28">
    <w:abstractNumId w:val="17"/>
  </w:num>
  <w:num w:numId="29">
    <w:abstractNumId w:val="2"/>
  </w:num>
  <w:num w:numId="30">
    <w:abstractNumId w:val="14"/>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540D"/>
    <w:rsid w:val="00521254"/>
    <w:rsid w:val="005223EF"/>
    <w:rsid w:val="00530B65"/>
    <w:rsid w:val="00556456"/>
    <w:rsid w:val="00564DD6"/>
    <w:rsid w:val="00575F91"/>
    <w:rsid w:val="00576FEE"/>
    <w:rsid w:val="005770A1"/>
    <w:rsid w:val="00582F0E"/>
    <w:rsid w:val="0058422D"/>
    <w:rsid w:val="00593991"/>
    <w:rsid w:val="005A242B"/>
    <w:rsid w:val="005B356D"/>
    <w:rsid w:val="005F17D4"/>
    <w:rsid w:val="005F1863"/>
    <w:rsid w:val="005F4232"/>
    <w:rsid w:val="00612832"/>
    <w:rsid w:val="00614FC5"/>
    <w:rsid w:val="00632F0C"/>
    <w:rsid w:val="00650AB4"/>
    <w:rsid w:val="00657BBC"/>
    <w:rsid w:val="006612C1"/>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32B3F"/>
    <w:rsid w:val="00C414D1"/>
    <w:rsid w:val="00C5322D"/>
    <w:rsid w:val="00C757A3"/>
    <w:rsid w:val="00C83800"/>
    <w:rsid w:val="00C86AC1"/>
    <w:rsid w:val="00CB33B0"/>
    <w:rsid w:val="00CD31EE"/>
    <w:rsid w:val="00CD4C35"/>
    <w:rsid w:val="00CF1113"/>
    <w:rsid w:val="00D05DA1"/>
    <w:rsid w:val="00D15A8D"/>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gdpr-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gdpr-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4630</TotalTime>
  <Pages>3</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236</cp:revision>
  <dcterms:created xsi:type="dcterms:W3CDTF">2026-06-05T06:15:00Z</dcterms:created>
  <dcterms:modified xsi:type="dcterms:W3CDTF">2026-07-06T06:04:00Z</dcterms:modified>
</cp:coreProperties>
</file>