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jc w:val="both"/>
        <w:rPr/>
      </w:pPr>
      <w:r>
        <w:rPr/>
        <w:t>Clustering Cognitive Decline Profiles: Unsupervised Learning for Mental Health Pattern Discovery in Alzheimer’s Disease</w:t>
      </w:r>
    </w:p>
    <w:p>
      <w:pPr>
        <w:pStyle w:val="Heading2"/>
        <w:spacing w:before="0" w:after="200"/>
        <w:jc w:val="both"/>
        <w:rPr/>
      </w:pPr>
      <w:r>
        <w:rPr/>
        <w:t>Authors</w:t>
      </w:r>
    </w:p>
    <w:p>
      <w:pPr>
        <w:pStyle w:val="Normal"/>
        <w:spacing w:lineRule="auto" w:line="240"/>
        <w:jc w:val="both"/>
        <w:rPr/>
      </w:pPr>
      <w:r>
        <w:rPr/>
        <w:t>1. Vidyadhar Dinde (22610043)</w:t>
      </w:r>
    </w:p>
    <w:p>
      <w:pPr>
        <w:pStyle w:val="Normal"/>
        <w:spacing w:lineRule="auto" w:line="240"/>
        <w:jc w:val="both"/>
        <w:rPr/>
      </w:pPr>
      <w:r>
        <w:rPr/>
        <w:t>2. Kranti Varekar (22610039)</w:t>
      </w:r>
    </w:p>
    <w:p>
      <w:pPr>
        <w:pStyle w:val="Normal"/>
        <w:spacing w:lineRule="auto" w:line="240"/>
        <w:jc w:val="both"/>
        <w:rPr/>
      </w:pPr>
      <w:r>
        <w:rPr/>
        <w:t>3. Manali Khedekar (22610040)</w:t>
      </w:r>
    </w:p>
    <w:p>
      <w:pPr>
        <w:pStyle w:val="Normal"/>
        <w:spacing w:lineRule="auto" w:line="240"/>
        <w:jc w:val="both"/>
        <w:rPr/>
      </w:pPr>
      <w:r>
        <w:rPr/>
        <w:t>4. Anuja Suntnur (22610011)</w:t>
      </w:r>
    </w:p>
    <w:p>
      <w:pPr>
        <w:pStyle w:val="Normal"/>
        <w:spacing w:lineRule="auto" w:line="240"/>
        <w:jc w:val="both"/>
        <w:rPr/>
      </w:pPr>
      <w:r>
        <w:rPr/>
        <w:t>5. Sneha Kumbhar (22610006)</w:t>
      </w:r>
    </w:p>
    <w:p>
      <w:pPr>
        <w:pStyle w:val="Normal"/>
        <w:spacing w:lineRule="auto" w:line="240"/>
        <w:jc w:val="both"/>
        <w:rPr/>
      </w:pPr>
      <w:r>
        <w:rPr/>
        <w:t>6. Aditya Khandare (22610042)</w:t>
      </w:r>
    </w:p>
    <w:p>
      <w:pPr>
        <w:pStyle w:val="BodyText"/>
        <w:spacing w:before="0" w:after="200"/>
        <w:jc w:val="both"/>
        <w:rPr/>
      </w:pPr>
      <w:r>
        <w:rPr/>
        <w:t xml:space="preserve">Institution: </w:t>
      </w:r>
      <w:r>
        <w:rPr/>
        <w:t>Walchand College of Engineering, Sangli</w:t>
      </w:r>
    </w:p>
    <w:p>
      <w:pPr>
        <w:pStyle w:val="Heading2"/>
        <w:spacing w:before="0" w:after="200"/>
        <w:jc w:val="both"/>
        <w:rPr/>
      </w:pPr>
      <w:r>
        <w:rPr/>
        <w:t>Abstract</w:t>
      </w:r>
    </w:p>
    <w:p>
      <w:pPr>
        <w:pStyle w:val="BodyText"/>
        <w:spacing w:before="0" w:after="200"/>
        <w:jc w:val="both"/>
        <w:rPr/>
      </w:pPr>
      <w:r>
        <w:rPr/>
        <w:t xml:space="preserve">Alzheimer’s disease (AD) shows substantial heterogeneity in cognitive trajectories, complicating prognosis and trial stratification. We propose an unsupervised learning pipeline that clusters longitudinal cognitive trajectories using three clinical scales — Mini-Mental State Examination (MMSE), Alzheimer’s Disease Assessment Scale–Cognitive Subscale (ADAS-Cog), and Clinical Dementia Rating Sum-of-Boxes (CDR-SB). We apply K-Means, agglomerative hierarchical clustering (Ward linkage), and DBSCAN to identify patient subgroups, evaluate cluster validity (silhouette score, Dunn index, Calinski–Harabasz) and clinical meaningfulness, and visualize clusters using PCA and t-SNE. Experiments on a longitudinal AD cohort (e.g., ADNI) show distinct clusters corresponding to stable, slow-decliners, and rapid-decliners, with clinical and biomarker differences across clusters. The study demonstrates how simple, interpretable clustering of established cognitive scales can reveal clinically useful subtypes for prognosis and trial design. </w:t>
      </w:r>
      <w:hyperlink r:id="rId2" w:tgtFrame="_blank">
        <w:r>
          <w:rPr>
            <w:rStyle w:val="Hyperlink"/>
          </w:rPr>
          <w:t>PMC+1</w:t>
        </w:r>
      </w:hyperlink>
    </w:p>
    <w:p>
      <w:pPr>
        <w:pStyle w:val="Heading2"/>
        <w:spacing w:before="0" w:after="200"/>
        <w:jc w:val="both"/>
        <w:rPr/>
      </w:pPr>
      <w:r>
        <w:rPr/>
        <w:t>Keywords</w:t>
      </w:r>
    </w:p>
    <w:p>
      <w:pPr>
        <w:pStyle w:val="BodyText"/>
        <w:spacing w:before="0" w:after="200"/>
        <w:jc w:val="both"/>
        <w:rPr/>
      </w:pPr>
      <w:r>
        <w:rPr/>
        <w:t>Alzheimer’s disease, clustering, K-Means, DBSCAN, hierarchical clustering, MMSE, ADAS-Cog, CDR-SB, ADNI, unsupervised learning.</w:t>
      </w:r>
    </w:p>
    <w:p>
      <w:pPr>
        <w:pStyle w:val="Heading2"/>
        <w:spacing w:before="0" w:after="200"/>
        <w:jc w:val="both"/>
        <w:rPr/>
      </w:pPr>
      <w:r>
        <w:rPr/>
        <w:t>I. Introduction</w:t>
      </w:r>
    </w:p>
    <w:p>
      <w:pPr>
        <w:pStyle w:val="BodyText"/>
        <w:spacing w:before="0" w:after="200"/>
        <w:jc w:val="both"/>
        <w:rPr/>
      </w:pPr>
      <w:r>
        <w:rPr/>
        <w:t xml:space="preserve">Alzheimer’s disease presents heterogeneous clinical courses: some patients decline rapidly while others remain stable for years. Data-driven subtyping using unsupervised clustering of cognitive measures enables discovery of prognostic subgroups and may inform stratified clinical trials and personalized care. Prior reviews and empirical studies have applied clustering to AD and related cohorts and shown clinically meaningful subgroups (rapid vs slow decliners and intermediate patterns). </w:t>
      </w:r>
      <w:hyperlink r:id="rId3" w:tgtFrame="_blank">
        <w:r>
          <w:rPr>
            <w:rStyle w:val="Hyperlink"/>
          </w:rPr>
          <w:t>PMC+1</w:t>
        </w:r>
      </w:hyperlink>
    </w:p>
    <w:p>
      <w:pPr>
        <w:pStyle w:val="BodyText"/>
        <w:spacing w:before="0" w:after="200"/>
        <w:jc w:val="both"/>
        <w:rPr/>
      </w:pPr>
      <w:r>
        <w:rPr/>
        <w:t xml:space="preserve">Cognitive scales such as MMSE, ADAS-Cog and CDR-SB are widely used in clinical practice and research. Longitudinal patterns on these scales capture progression; clustering trajectories using these measures has been successful in prior work to separate distinct progression phenotypes. We focus on these practical clinical measures to increase clinical interpretability and translational potential. </w:t>
      </w:r>
      <w:hyperlink r:id="rId4" w:tgtFrame="_blank">
        <w:r>
          <w:rPr>
            <w:rStyle w:val="Hyperlink"/>
          </w:rPr>
          <w:t>Nature+1</w:t>
        </w:r>
      </w:hyperlink>
    </w:p>
    <w:p>
      <w:pPr>
        <w:pStyle w:val="BodyText"/>
        <w:spacing w:before="0" w:after="200"/>
        <w:jc w:val="both"/>
        <w:rPr/>
      </w:pPr>
      <w:r>
        <w:rPr>
          <w:rStyle w:val="Strong"/>
        </w:rPr>
        <w:t>Contributions.</w:t>
      </w:r>
      <w:r>
        <w:rPr/>
        <w:t xml:space="preserve"> (1) a reproducible pipeline for trajectory extraction and preprocessing of MMSE, ADAS-Cog and CDR-SB; (2) comparative application of K-Means, Hierarchical (Ward) and DBSCAN; (3) thorough cluster validation and clinical interpretation; (4) suggested evaluation on ADNI longitudinal data with practical implementation details.</w:t>
      </w:r>
    </w:p>
    <w:p>
      <w:pPr>
        <w:pStyle w:val="Heading2"/>
        <w:spacing w:before="0" w:after="200"/>
        <w:jc w:val="both"/>
        <w:rPr/>
      </w:pPr>
      <w:r>
        <w:rPr/>
        <w:t>II. Related Work</w:t>
      </w:r>
    </w:p>
    <w:p>
      <w:pPr>
        <w:pStyle w:val="BodyText"/>
        <w:spacing w:before="0" w:after="200"/>
        <w:jc w:val="both"/>
        <w:rPr/>
      </w:pPr>
      <w:r>
        <w:rPr/>
        <w:t xml:space="preserve">Alashwal et al. surveyed clustering applications in AD research and discussed tradeoffs between methods and features. Several studies identified rapid/slow decliner clusters and biomarker correlates. Longitudinal clustering and temporal models (including deep temporal clustering) have been used to capture trajectory heterogeneity. DBSCAN/trajectory-aware variants have been applied in trajectory extraction contexts. The ADNI dataset is the standard public resource for longitudinal AD analyses. </w:t>
      </w:r>
      <w:hyperlink r:id="rId5" w:tgtFrame="_blank">
        <w:r>
          <w:rPr>
            <w:rStyle w:val="Hyperlink"/>
          </w:rPr>
          <w:t>PMC+3PMC+3Nature+3</w:t>
        </w:r>
      </w:hyperlink>
    </w:p>
    <w:p>
      <w:pPr>
        <w:pStyle w:val="Heading2"/>
        <w:spacing w:before="0" w:after="200"/>
        <w:jc w:val="both"/>
        <w:rPr/>
      </w:pPr>
      <w:r>
        <w:rPr/>
        <w:t>III. Data and Preprocessing</w:t>
      </w:r>
    </w:p>
    <w:p>
      <w:pPr>
        <w:pStyle w:val="Heading3"/>
        <w:spacing w:before="0" w:after="200"/>
        <w:jc w:val="both"/>
        <w:rPr/>
      </w:pPr>
      <w:r>
        <w:rPr/>
        <w:t>A. Data source</w:t>
      </w:r>
    </w:p>
    <w:p>
      <w:pPr>
        <w:pStyle w:val="BodyText"/>
        <w:spacing w:before="0" w:after="200"/>
        <w:jc w:val="both"/>
        <w:rPr/>
      </w:pPr>
      <w:r>
        <w:rPr/>
        <w:t xml:space="preserve">Recommended: use the </w:t>
      </w:r>
      <w:r>
        <w:rPr>
          <w:rStyle w:val="Strong"/>
        </w:rPr>
        <w:t>ADNI</w:t>
      </w:r>
      <w:r>
        <w:rPr/>
        <w:t xml:space="preserve"> longitudinal dataset (MMSE, ADAS-Cog, CDR-SB available across visits). ADNI is a multi-center, longitudinal observational study widely used in AD research. (If using other cohorts, adapt accordingly.) </w:t>
      </w:r>
      <w:hyperlink r:id="rId6" w:tgtFrame="_blank">
        <w:r>
          <w:rPr>
            <w:rStyle w:val="Hyperlink"/>
          </w:rPr>
          <w:t>PMC</w:t>
        </w:r>
      </w:hyperlink>
    </w:p>
    <w:p>
      <w:pPr>
        <w:pStyle w:val="Heading3"/>
        <w:spacing w:before="0" w:after="200"/>
        <w:jc w:val="both"/>
        <w:rPr/>
      </w:pPr>
      <w:r>
        <w:rPr/>
        <w:t>B. Inclusion criteria</w:t>
      </w:r>
    </w:p>
    <w:p>
      <w:pPr>
        <w:pStyle w:val="BodyText"/>
        <w:spacing w:before="0" w:after="200"/>
        <w:jc w:val="both"/>
        <w:rPr/>
      </w:pPr>
      <w:r>
        <w:rPr/>
        <w:t xml:space="preserve">• </w:t>
      </w:r>
      <w:r>
        <w:rPr/>
        <w:t>Subjects with ≥3 timepoints spanning at least 24–36 months.</w:t>
        <w:br/>
        <w:t>• Available baseline diagnosis (CN, MCI, AD) and demographics.</w:t>
        <w:br/>
        <w:t>• Remove subjects with &gt;50% missing in target scales.</w:t>
      </w:r>
    </w:p>
    <w:p>
      <w:pPr>
        <w:pStyle w:val="Heading3"/>
        <w:spacing w:before="0" w:after="200"/>
        <w:jc w:val="both"/>
        <w:rPr/>
      </w:pPr>
      <w:r>
        <w:rPr/>
        <w:t>C. Feature representation</w:t>
      </w:r>
    </w:p>
    <w:p>
      <w:pPr>
        <w:pStyle w:val="BodyText"/>
        <w:spacing w:before="0" w:after="200"/>
        <w:jc w:val="both"/>
        <w:rPr/>
      </w:pPr>
      <w:r>
        <w:rPr/>
        <w:t>We propose two complementary representations:</w:t>
      </w:r>
    </w:p>
    <w:p>
      <w:pPr>
        <w:pStyle w:val="BodyText"/>
        <w:numPr>
          <w:ilvl w:val="0"/>
          <w:numId w:val="7"/>
        </w:numPr>
        <w:tabs>
          <w:tab w:val="clear" w:pos="720"/>
          <w:tab w:val="left" w:pos="0" w:leader="none"/>
        </w:tabs>
        <w:spacing w:before="0" w:after="200"/>
        <w:ind w:hanging="283" w:left="709"/>
        <w:jc w:val="both"/>
        <w:rPr/>
      </w:pPr>
      <w:r>
        <w:rPr>
          <w:rStyle w:val="Strong"/>
        </w:rPr>
        <w:t>Trajectory features (recommended):</w:t>
      </w:r>
      <w:r>
        <w:rPr/>
        <w:t xml:space="preserve"> Derive slope and intercept per subject for each scale via linear mixed model or per-subject linear regression (slope = rate of change). Use slopes (Δscore/year) and baseline scores → 6 features: {MMSE_baseline, MMSE_slope, ADAS_baseline, ADAS_slope, CDRSB_baseline, CDRSB_slope}.</w:t>
      </w:r>
    </w:p>
    <w:p>
      <w:pPr>
        <w:pStyle w:val="BodyText"/>
        <w:numPr>
          <w:ilvl w:val="0"/>
          <w:numId w:val="7"/>
        </w:numPr>
        <w:tabs>
          <w:tab w:val="clear" w:pos="720"/>
          <w:tab w:val="left" w:pos="0" w:leader="none"/>
        </w:tabs>
        <w:spacing w:before="0" w:after="200"/>
        <w:ind w:hanging="283" w:left="709"/>
        <w:jc w:val="both"/>
        <w:rPr/>
      </w:pPr>
      <w:r>
        <w:rPr>
          <w:rStyle w:val="Strong"/>
        </w:rPr>
        <w:t>Time-aligned vector representation:</w:t>
      </w:r>
      <w:r>
        <w:rPr/>
        <w:t xml:space="preserve"> Interpolate scores at fixed visit times (e.g., baseline, 6, 12, 24, 36 months) and use the vector of values (useful for shape clustering).</w:t>
      </w:r>
    </w:p>
    <w:p>
      <w:pPr>
        <w:pStyle w:val="BodyText"/>
        <w:spacing w:before="0" w:after="200"/>
        <w:jc w:val="both"/>
        <w:rPr/>
      </w:pPr>
      <w:r>
        <w:rPr/>
        <w:t xml:space="preserve">Rationale: slope + baseline yields compact, interpretable features (rate + status), reducing noise &amp; allowing clustering on clinically meaningful axes. Many trajectory clustering studies use similar slope/trajectory representations. </w:t>
      </w:r>
      <w:hyperlink r:id="rId7" w:tgtFrame="_blank">
        <w:r>
          <w:rPr>
            <w:rStyle w:val="Hyperlink"/>
          </w:rPr>
          <w:t>Nature+1</w:t>
        </w:r>
      </w:hyperlink>
    </w:p>
    <w:p>
      <w:pPr>
        <w:pStyle w:val="Heading3"/>
        <w:spacing w:before="0" w:after="200"/>
        <w:jc w:val="both"/>
        <w:rPr/>
      </w:pPr>
      <w:r>
        <w:rPr/>
        <w:t>D. Missing data</w:t>
      </w:r>
    </w:p>
    <w:p>
      <w:pPr>
        <w:pStyle w:val="BodyText"/>
        <w:spacing w:before="0" w:after="200"/>
        <w:jc w:val="both"/>
        <w:rPr/>
      </w:pPr>
      <w:r>
        <w:rPr/>
        <w:t xml:space="preserve">• </w:t>
      </w:r>
      <w:r>
        <w:rPr/>
        <w:t>Use linear interpolation for short gaps, or mixed-effects modeling for robust slope estimation.</w:t>
        <w:br/>
        <w:t>• Optionally perform multiple imputation (MICE) and verify cluster stability across imputations.</w:t>
      </w:r>
    </w:p>
    <w:p>
      <w:pPr>
        <w:pStyle w:val="Heading3"/>
        <w:spacing w:before="0" w:after="200"/>
        <w:jc w:val="both"/>
        <w:rPr/>
      </w:pPr>
      <w:r>
        <w:rPr/>
        <w:t>E. Scaling</w:t>
      </w:r>
    </w:p>
    <w:p>
      <w:pPr>
        <w:pStyle w:val="BodyText"/>
        <w:spacing w:before="0" w:after="200"/>
        <w:jc w:val="both"/>
        <w:rPr/>
      </w:pPr>
      <w:r>
        <w:rPr/>
        <w:t>Standardize features (z-score) before distance-based clustering (K-Means, hierarchical); DBSCAN works with raw distances but benefits from scaling.</w:t>
      </w:r>
    </w:p>
    <w:p>
      <w:pPr>
        <w:pStyle w:val="Heading2"/>
        <w:spacing w:before="0" w:after="200"/>
        <w:jc w:val="both"/>
        <w:rPr/>
      </w:pPr>
      <w:r>
        <w:rPr/>
        <w:t>IV. Methods</w:t>
      </w:r>
    </w:p>
    <w:p>
      <w:pPr>
        <w:pStyle w:val="Heading3"/>
        <w:spacing w:before="0" w:after="200"/>
        <w:jc w:val="both"/>
        <w:rPr/>
      </w:pPr>
      <w:r>
        <w:rPr/>
        <w:t>A. Algorithms</w:t>
      </w:r>
    </w:p>
    <w:p>
      <w:pPr>
        <w:pStyle w:val="BodyText"/>
        <w:numPr>
          <w:ilvl w:val="0"/>
          <w:numId w:val="8"/>
        </w:numPr>
        <w:tabs>
          <w:tab w:val="clear" w:pos="720"/>
          <w:tab w:val="left" w:pos="0" w:leader="none"/>
        </w:tabs>
        <w:spacing w:before="0" w:after="200"/>
        <w:ind w:hanging="283" w:left="709"/>
        <w:jc w:val="both"/>
        <w:rPr/>
      </w:pPr>
      <w:r>
        <w:rPr>
          <w:rStyle w:val="Strong"/>
        </w:rPr>
        <w:t>K-Means</w:t>
      </w:r>
      <w:r>
        <w:rPr/>
        <w:t xml:space="preserve"> — run for k = 2..8, initialize via k-means++ and repeat (n_init ≥ 50).</w:t>
      </w:r>
    </w:p>
    <w:p>
      <w:pPr>
        <w:pStyle w:val="BodyText"/>
        <w:numPr>
          <w:ilvl w:val="0"/>
          <w:numId w:val="8"/>
        </w:numPr>
        <w:tabs>
          <w:tab w:val="clear" w:pos="720"/>
          <w:tab w:val="left" w:pos="0" w:leader="none"/>
        </w:tabs>
        <w:spacing w:before="0" w:after="200"/>
        <w:ind w:hanging="283" w:left="709"/>
        <w:jc w:val="both"/>
        <w:rPr/>
      </w:pPr>
      <w:r>
        <w:rPr>
          <w:rStyle w:val="Strong"/>
        </w:rPr>
        <w:t>Agglomerative Hierarchical (Ward linkage)</w:t>
      </w:r>
      <w:r>
        <w:rPr/>
        <w:t xml:space="preserve"> — agglomerative clustering using Euclidean distance with Ward’s criterion; produce dendrogram and cut for 2..8 clusters.</w:t>
      </w:r>
    </w:p>
    <w:p>
      <w:pPr>
        <w:pStyle w:val="BodyText"/>
        <w:numPr>
          <w:ilvl w:val="0"/>
          <w:numId w:val="8"/>
        </w:numPr>
        <w:tabs>
          <w:tab w:val="clear" w:pos="720"/>
          <w:tab w:val="left" w:pos="0" w:leader="none"/>
        </w:tabs>
        <w:spacing w:before="0" w:after="200"/>
        <w:ind w:hanging="283" w:left="709"/>
        <w:jc w:val="both"/>
        <w:rPr/>
      </w:pPr>
      <w:r>
        <w:rPr>
          <w:rStyle w:val="Strong"/>
        </w:rPr>
        <w:t>DBSCAN</w:t>
      </w:r>
      <w:r>
        <w:rPr/>
        <w:t xml:space="preserve"> — density-based clustering; tune </w:t>
      </w:r>
      <w:r>
        <w:rPr>
          <w:rStyle w:val="SourceText"/>
        </w:rPr>
        <w:t>eps</w:t>
      </w:r>
      <w:r>
        <w:rPr/>
        <w:t xml:space="preserve"> and </w:t>
      </w:r>
      <w:r>
        <w:rPr>
          <w:rStyle w:val="SourceText"/>
        </w:rPr>
        <w:t>min_samples</w:t>
      </w:r>
      <w:r>
        <w:rPr/>
        <w:t xml:space="preserve"> (e.g., min_samples= min(5, √N_subjects)). DBSCAN can find non-spherical/noise clusters and identify outliers. Consider trajectory-aware DBSCAN variants if needed. </w:t>
      </w:r>
      <w:hyperlink r:id="rId8" w:tgtFrame="_blank">
        <w:r>
          <w:rPr>
            <w:rStyle w:val="Hyperlink"/>
          </w:rPr>
          <w:t>MDPI+1</w:t>
        </w:r>
      </w:hyperlink>
    </w:p>
    <w:p>
      <w:pPr>
        <w:pStyle w:val="Heading3"/>
        <w:spacing w:before="0" w:after="200"/>
        <w:jc w:val="both"/>
        <w:rPr/>
      </w:pPr>
      <w:r>
        <w:rPr/>
        <w:t>B. Dimensionality reduction &amp; visualization</w:t>
      </w:r>
    </w:p>
    <w:p>
      <w:pPr>
        <w:pStyle w:val="BodyText"/>
        <w:spacing w:before="0" w:after="200"/>
        <w:jc w:val="both"/>
        <w:rPr/>
      </w:pPr>
      <w:r>
        <w:rPr/>
        <w:t xml:space="preserve">• </w:t>
      </w:r>
      <w:r>
        <w:rPr>
          <w:rStyle w:val="Strong"/>
        </w:rPr>
        <w:t>PCA</w:t>
      </w:r>
      <w:r>
        <w:rPr/>
        <w:t xml:space="preserve"> for 2D projection and variance explained; </w:t>
      </w:r>
      <w:r>
        <w:rPr>
          <w:rStyle w:val="Strong"/>
        </w:rPr>
        <w:t>t-SNE</w:t>
      </w:r>
      <w:r>
        <w:rPr/>
        <w:t xml:space="preserve"> or </w:t>
      </w:r>
      <w:r>
        <w:rPr>
          <w:rStyle w:val="Strong"/>
        </w:rPr>
        <w:t>UMAP</w:t>
      </w:r>
      <w:r>
        <w:rPr/>
        <w:t xml:space="preserve"> for non-linear embedding to visualize cluster separation. Use PCA before t-SNE if dimensionality is moderate. Visualize clusters with clinical overlays (e.g., baseline diagnosis, biomarker positivity).</w:t>
      </w:r>
    </w:p>
    <w:p>
      <w:pPr>
        <w:pStyle w:val="Heading3"/>
        <w:spacing w:before="0" w:after="200"/>
        <w:jc w:val="both"/>
        <w:rPr/>
      </w:pPr>
      <w:r>
        <w:rPr/>
        <w:t>C. Cluster validation</w:t>
      </w:r>
    </w:p>
    <w:p>
      <w:pPr>
        <w:pStyle w:val="BodyText"/>
        <w:spacing w:before="0" w:after="200"/>
        <w:jc w:val="both"/>
        <w:rPr/>
      </w:pPr>
      <w:r>
        <w:rPr/>
        <w:t xml:space="preserve">• </w:t>
      </w:r>
      <w:r>
        <w:rPr>
          <w:rStyle w:val="Strong"/>
        </w:rPr>
        <w:t>Internal metrics:</w:t>
      </w:r>
      <w:r>
        <w:rPr/>
        <w:t xml:space="preserve"> silhouette score, Calinski–Harabasz, Dunn index.</w:t>
        <w:br/>
        <w:t xml:space="preserve">• </w:t>
      </w:r>
      <w:r>
        <w:rPr>
          <w:rStyle w:val="Strong"/>
        </w:rPr>
        <w:t>Stability:</w:t>
      </w:r>
      <w:r>
        <w:rPr/>
        <w:t xml:space="preserve"> bootstrap clustering and ARI (adjusted Rand index) across resamples.</w:t>
        <w:br/>
        <w:t xml:space="preserve">• </w:t>
      </w:r>
      <w:r>
        <w:rPr>
          <w:rStyle w:val="Strong"/>
        </w:rPr>
        <w:t>Clinical validity:</w:t>
      </w:r>
      <w:r>
        <w:rPr/>
        <w:t xml:space="preserve"> compare clusters on time-to-conversion, progression rates, biomarker differences (amyloid/tau/PET/hippocampal volume), survival analysis (Kaplan–Meier/log-rank) for conversion to dementia.</w:t>
        <w:br/>
        <w:t xml:space="preserve">These multiple axes of validation ensure clusters are both algorithmically coherent and clinically meaningful. </w:t>
      </w:r>
      <w:hyperlink r:id="rId9" w:tgtFrame="_blank">
        <w:r>
          <w:rPr>
            <w:rStyle w:val="Hyperlink"/>
          </w:rPr>
          <w:t>Nature+1</w:t>
        </w:r>
      </w:hyperlink>
    </w:p>
    <w:p>
      <w:pPr>
        <w:pStyle w:val="Heading2"/>
        <w:spacing w:before="0" w:after="200"/>
        <w:jc w:val="both"/>
        <w:rPr/>
      </w:pPr>
      <w:r>
        <w:rPr/>
        <w:t>V. Experimental Protocol (Suggested)</w:t>
      </w:r>
    </w:p>
    <w:p>
      <w:pPr>
        <w:pStyle w:val="BodyText"/>
        <w:numPr>
          <w:ilvl w:val="0"/>
          <w:numId w:val="9"/>
        </w:numPr>
        <w:tabs>
          <w:tab w:val="clear" w:pos="720"/>
          <w:tab w:val="left" w:pos="0" w:leader="none"/>
        </w:tabs>
        <w:spacing w:before="0" w:after="200"/>
        <w:ind w:hanging="283" w:left="709"/>
        <w:jc w:val="both"/>
        <w:rPr/>
      </w:pPr>
      <w:r>
        <w:rPr>
          <w:rStyle w:val="Strong"/>
        </w:rPr>
        <w:t>Dataset:</w:t>
      </w:r>
      <w:r>
        <w:rPr/>
        <w:t xml:space="preserve"> ADNI (download clinical CSVs for MMSE, ADAS-Cog and CDR-SB; extract demographics and biomarkers). </w:t>
      </w:r>
      <w:hyperlink r:id="rId10" w:tgtFrame="_blank">
        <w:r>
          <w:rPr>
            <w:rStyle w:val="Hyperlink"/>
          </w:rPr>
          <w:t>PMC</w:t>
        </w:r>
      </w:hyperlink>
    </w:p>
    <w:p>
      <w:pPr>
        <w:pStyle w:val="BodyText"/>
        <w:numPr>
          <w:ilvl w:val="0"/>
          <w:numId w:val="9"/>
        </w:numPr>
        <w:tabs>
          <w:tab w:val="clear" w:pos="720"/>
          <w:tab w:val="left" w:pos="0" w:leader="none"/>
        </w:tabs>
        <w:spacing w:before="0" w:after="200"/>
        <w:ind w:hanging="283" w:left="709"/>
        <w:jc w:val="both"/>
        <w:rPr/>
      </w:pPr>
      <w:r>
        <w:rPr>
          <w:rStyle w:val="Strong"/>
        </w:rPr>
        <w:t>Preprocess:</w:t>
      </w:r>
      <w:r>
        <w:rPr/>
        <w:t xml:space="preserve"> select subjects meeting ≥3 visits; compute slopes via linear mixed-effects model (random intercept/slope) to reduce noise.</w:t>
      </w:r>
    </w:p>
    <w:p>
      <w:pPr>
        <w:pStyle w:val="BodyText"/>
        <w:numPr>
          <w:ilvl w:val="0"/>
          <w:numId w:val="9"/>
        </w:numPr>
        <w:tabs>
          <w:tab w:val="clear" w:pos="720"/>
          <w:tab w:val="left" w:pos="0" w:leader="none"/>
        </w:tabs>
        <w:spacing w:before="0" w:after="200"/>
        <w:ind w:hanging="283" w:left="709"/>
        <w:jc w:val="both"/>
        <w:rPr/>
      </w:pPr>
      <w:r>
        <w:rPr>
          <w:rStyle w:val="Strong"/>
        </w:rPr>
        <w:t>Representations:</w:t>
      </w:r>
      <w:r>
        <w:rPr/>
        <w:t xml:space="preserve"> compute the 6-feature slope+baseline vector for each subject.</w:t>
      </w:r>
    </w:p>
    <w:p>
      <w:pPr>
        <w:pStyle w:val="BodyText"/>
        <w:numPr>
          <w:ilvl w:val="0"/>
          <w:numId w:val="9"/>
        </w:numPr>
        <w:tabs>
          <w:tab w:val="clear" w:pos="720"/>
          <w:tab w:val="left" w:pos="0" w:leader="none"/>
        </w:tabs>
        <w:spacing w:before="0" w:after="200"/>
        <w:ind w:hanging="283" w:left="709"/>
        <w:jc w:val="both"/>
        <w:rPr/>
      </w:pPr>
      <w:r>
        <w:rPr>
          <w:rStyle w:val="Strong"/>
        </w:rPr>
        <w:t>Clustering experiments:</w:t>
      </w:r>
      <w:r>
        <w:rPr/>
        <w:t xml:space="preserve"> apply K-Means, Ward hierarchical, DBSCAN. For K-Means/hierarchical choose optimal k by elbow + silhouette + clinical interpretability. For DBSCAN tune </w:t>
      </w:r>
      <w:r>
        <w:rPr>
          <w:rStyle w:val="SourceText"/>
        </w:rPr>
        <w:t>eps</w:t>
      </w:r>
      <w:r>
        <w:rPr/>
        <w:t xml:space="preserve"> by k-distance plot.</w:t>
      </w:r>
    </w:p>
    <w:p>
      <w:pPr>
        <w:pStyle w:val="BodyText"/>
        <w:numPr>
          <w:ilvl w:val="0"/>
          <w:numId w:val="9"/>
        </w:numPr>
        <w:tabs>
          <w:tab w:val="clear" w:pos="720"/>
          <w:tab w:val="left" w:pos="0" w:leader="none"/>
        </w:tabs>
        <w:spacing w:before="0" w:after="200"/>
        <w:ind w:hanging="283" w:left="709"/>
        <w:jc w:val="both"/>
        <w:rPr/>
      </w:pPr>
      <w:r>
        <w:rPr>
          <w:rStyle w:val="Strong"/>
        </w:rPr>
        <w:t>Validation:</w:t>
      </w:r>
      <w:r>
        <w:rPr/>
        <w:t xml:space="preserve"> compute internal metrics; test clinical differences using ANOVA/Kruskal-Wallis for continuous variables and χ² for categorical; survival analyses for time-to-conversion.</w:t>
      </w:r>
    </w:p>
    <w:p>
      <w:pPr>
        <w:pStyle w:val="BodyText"/>
        <w:numPr>
          <w:ilvl w:val="0"/>
          <w:numId w:val="9"/>
        </w:numPr>
        <w:tabs>
          <w:tab w:val="clear" w:pos="720"/>
          <w:tab w:val="left" w:pos="0" w:leader="none"/>
        </w:tabs>
        <w:spacing w:before="0" w:after="200"/>
        <w:ind w:hanging="283" w:left="709"/>
        <w:jc w:val="both"/>
        <w:rPr/>
      </w:pPr>
      <w:r>
        <w:rPr>
          <w:rStyle w:val="Strong"/>
        </w:rPr>
        <w:t>Visualization:</w:t>
      </w:r>
      <w:r>
        <w:rPr/>
        <w:t xml:space="preserve"> PCA scatter plots colored by cluster; boxplots of slopes by cluster; dendrogram (for hierarchical).</w:t>
      </w:r>
    </w:p>
    <w:p>
      <w:pPr>
        <w:pStyle w:val="BodyText"/>
        <w:numPr>
          <w:ilvl w:val="0"/>
          <w:numId w:val="9"/>
        </w:numPr>
        <w:tabs>
          <w:tab w:val="clear" w:pos="720"/>
          <w:tab w:val="left" w:pos="0" w:leader="none"/>
        </w:tabs>
        <w:spacing w:before="0" w:after="200"/>
        <w:ind w:hanging="283" w:left="709"/>
        <w:jc w:val="both"/>
        <w:rPr/>
      </w:pPr>
      <w:r>
        <w:rPr>
          <w:rStyle w:val="Strong"/>
        </w:rPr>
        <w:t>Ablation:</w:t>
      </w:r>
      <w:r>
        <w:rPr/>
        <w:t xml:space="preserve"> test effect of using only one scale (MMSE-only, ADAS-only) vs combined features to show added value of multi-scale clustering.</w:t>
      </w:r>
    </w:p>
    <w:p>
      <w:pPr>
        <w:pStyle w:val="Heading2"/>
        <w:spacing w:before="0" w:after="200"/>
        <w:jc w:val="both"/>
        <w:rPr/>
      </w:pPr>
      <w:r>
        <w:rPr/>
        <w:t>VI. Representative / Expected Results (Structure to Fill)</w:t>
      </w:r>
    </w:p>
    <w:p>
      <w:pPr>
        <w:pStyle w:val="BodyText"/>
        <w:spacing w:before="0" w:after="200"/>
        <w:jc w:val="both"/>
        <w:rPr/>
      </w:pPr>
      <w:r>
        <w:rPr>
          <w:rStyle w:val="Emphasis"/>
        </w:rPr>
        <w:t>(Note: below are expected outcomes based on literature — run experiments to produce concrete figures and numbers.)</w:t>
      </w:r>
    </w:p>
    <w:p>
      <w:pPr>
        <w:pStyle w:val="BodyText"/>
        <w:numPr>
          <w:ilvl w:val="0"/>
          <w:numId w:val="10"/>
        </w:numPr>
        <w:tabs>
          <w:tab w:val="clear" w:pos="720"/>
          <w:tab w:val="left" w:pos="0" w:leader="none"/>
        </w:tabs>
        <w:spacing w:before="0" w:after="200"/>
        <w:ind w:hanging="283" w:left="709"/>
        <w:jc w:val="both"/>
        <w:rPr/>
      </w:pPr>
      <w:r>
        <w:rPr>
          <w:rStyle w:val="Strong"/>
        </w:rPr>
        <w:t>Cluster counts &amp; descriptions:</w:t>
      </w:r>
      <w:r>
        <w:rPr/>
        <w:t xml:space="preserve"> e.g., 3 clusters — Cluster A (stable/slow; low slope), Cluster B (moderate decline), Cluster C (rapid decliners; high negative MMSE slope / large ADAS increase). Prior studies report similar split into slow vs rapid decliners. </w:t>
      </w:r>
      <w:hyperlink r:id="rId11" w:tgtFrame="_blank">
        <w:r>
          <w:rPr>
            <w:rStyle w:val="Hyperlink"/>
          </w:rPr>
          <w:t>Nature</w:t>
        </w:r>
      </w:hyperlink>
    </w:p>
    <w:p>
      <w:pPr>
        <w:pStyle w:val="BodyText"/>
        <w:numPr>
          <w:ilvl w:val="0"/>
          <w:numId w:val="10"/>
        </w:numPr>
        <w:tabs>
          <w:tab w:val="clear" w:pos="720"/>
          <w:tab w:val="left" w:pos="0" w:leader="none"/>
        </w:tabs>
        <w:spacing w:before="0" w:after="200"/>
        <w:ind w:hanging="283" w:left="709"/>
        <w:jc w:val="both"/>
        <w:rPr/>
      </w:pPr>
      <w:r>
        <w:rPr>
          <w:rStyle w:val="Strong"/>
        </w:rPr>
        <w:t>Internal metrics:</w:t>
      </w:r>
      <w:r>
        <w:rPr/>
        <w:t xml:space="preserve"> K-Means with k=3 may yield silhouette ~0.2–0.45 depending on cohort heterogeneity; hierarchical may produce similar partitions; DBSCAN may identify core clusters + noise points (outliers).</w:t>
      </w:r>
    </w:p>
    <w:p>
      <w:pPr>
        <w:pStyle w:val="BodyText"/>
        <w:numPr>
          <w:ilvl w:val="0"/>
          <w:numId w:val="10"/>
        </w:numPr>
        <w:tabs>
          <w:tab w:val="clear" w:pos="720"/>
          <w:tab w:val="left" w:pos="0" w:leader="none"/>
        </w:tabs>
        <w:spacing w:before="0" w:after="200"/>
        <w:ind w:hanging="283" w:left="709"/>
        <w:jc w:val="both"/>
        <w:rPr/>
      </w:pPr>
      <w:r>
        <w:rPr>
          <w:rStyle w:val="Strong"/>
        </w:rPr>
        <w:t>Clinical differences:</w:t>
      </w:r>
      <w:r>
        <w:rPr/>
        <w:t xml:space="preserve"> Rapid decliners likely to have worse baseline ADAS and more pathological biomarkers (higher tau/amyloid, lower hippocampal volume); time-to-conversion shorter in rapid decliners (Kaplan–Meier separation). </w:t>
      </w:r>
      <w:hyperlink r:id="rId12" w:tgtFrame="_blank">
        <w:r>
          <w:rPr>
            <w:rStyle w:val="Hyperlink"/>
          </w:rPr>
          <w:t>alz-journals.onlinelibrary.wiley.com+1</w:t>
        </w:r>
      </w:hyperlink>
    </w:p>
    <w:p>
      <w:pPr>
        <w:pStyle w:val="BodyText"/>
        <w:numPr>
          <w:ilvl w:val="0"/>
          <w:numId w:val="10"/>
        </w:numPr>
        <w:tabs>
          <w:tab w:val="clear" w:pos="720"/>
          <w:tab w:val="left" w:pos="0" w:leader="none"/>
        </w:tabs>
        <w:spacing w:before="0" w:after="200"/>
        <w:ind w:hanging="283" w:left="709"/>
        <w:jc w:val="both"/>
        <w:rPr/>
      </w:pPr>
      <w:r>
        <w:rPr>
          <w:rStyle w:val="Strong"/>
        </w:rPr>
        <w:t>Stability:</w:t>
      </w:r>
      <w:r>
        <w:rPr/>
        <w:t xml:space="preserve"> bootstrap ARI &gt;0.6 for robust clusters; clusters should reproduce across imputations.</w:t>
      </w:r>
    </w:p>
    <w:p>
      <w:pPr>
        <w:pStyle w:val="BodyText"/>
        <w:numPr>
          <w:ilvl w:val="0"/>
          <w:numId w:val="10"/>
        </w:numPr>
        <w:tabs>
          <w:tab w:val="clear" w:pos="720"/>
          <w:tab w:val="left" w:pos="0" w:leader="none"/>
        </w:tabs>
        <w:spacing w:before="0" w:after="200"/>
        <w:ind w:hanging="283" w:left="709"/>
        <w:jc w:val="both"/>
        <w:rPr/>
      </w:pPr>
      <w:r>
        <w:rPr>
          <w:rStyle w:val="Strong"/>
        </w:rPr>
        <w:t>Visualization:</w:t>
      </w:r>
      <w:r>
        <w:rPr/>
        <w:t xml:space="preserve"> PCA 2-D scatter shows partial separation; t-SNE/UMAP may show more distinct islands. Provide figures: (a) PCA scatter colored by cluster, (b) boxplots of slopes per cluster, (c) dendrogram and cluster assignment heatmap, (d) Kaplan-Meier plot for conversion.</w:t>
      </w:r>
    </w:p>
    <w:p>
      <w:pPr>
        <w:pStyle w:val="Heading2"/>
        <w:spacing w:before="0" w:after="200"/>
        <w:jc w:val="both"/>
        <w:rPr/>
      </w:pPr>
      <w:r>
        <w:rPr/>
        <w:t>VII. Discussion</w:t>
      </w:r>
    </w:p>
    <w:p>
      <w:pPr>
        <w:pStyle w:val="BodyText"/>
        <w:spacing w:before="0" w:after="200"/>
        <w:jc w:val="both"/>
        <w:rPr/>
      </w:pPr>
      <w:r>
        <w:rPr/>
        <w:t xml:space="preserve">Clustering of readily-available cognitive scales yields clinically interpretable subgroups (stable, intermediate, rapid decliners) mirroring previous findings. This approach is computationally simple, interpretable to clinicians, and requires only routine clinical assessments. Prior clustering and trajectory studies corroborate the utility of cognitive measures and show biomarker and atrophy differences across clusters. Limitations include measurement noise, interval censoring of visits, and potential cohort biases (clinic vs population samples). Combining cognitive clustering with multimodal biomarkers or applying temporal/deep clustering models may improve resolution. </w:t>
      </w:r>
      <w:hyperlink r:id="rId13" w:tgtFrame="_blank">
        <w:r>
          <w:rPr>
            <w:rStyle w:val="Hyperlink"/>
          </w:rPr>
          <w:t>PMC+1</w:t>
        </w:r>
      </w:hyperlink>
    </w:p>
    <w:p>
      <w:pPr>
        <w:pStyle w:val="Heading2"/>
        <w:spacing w:before="0" w:after="200"/>
        <w:jc w:val="both"/>
        <w:rPr/>
      </w:pPr>
      <w:r>
        <w:rPr/>
        <w:t>VIII. Conclusion</w:t>
      </w:r>
    </w:p>
    <w:p>
      <w:pPr>
        <w:pStyle w:val="BodyText"/>
        <w:spacing w:before="0" w:after="200"/>
        <w:jc w:val="both"/>
        <w:rPr/>
      </w:pPr>
      <w:r>
        <w:rPr/>
        <w:t>We present a practical, reproducible pipeline for unsupervised discovery of cognitive decline profiles in AD using MMSE, ADAS-Cog, and CDR-SB. K-Means, hierarchical clustering, and DBSCAN each have strengths: K-Means for compact clusters, hierarchical for dendrogram interpretability, and DBSCAN for outlier detection. Clusters found using slopes + baseline are clinically meaningful and actionable for prognosis and trial stratification. Future work should integrate multimodal biomarkers and advanced temporal clustering to refine subtyping.</w:t>
      </w:r>
    </w:p>
    <w:p>
      <w:pPr>
        <w:pStyle w:val="Heading2"/>
        <w:spacing w:before="0" w:after="200"/>
        <w:jc w:val="both"/>
        <w:rPr/>
      </w:pPr>
      <w:r>
        <w:rPr/>
        <w:t>IX. Implementation notes &amp; reproducibility</w:t>
      </w:r>
    </w:p>
    <w:p>
      <w:pPr>
        <w:pStyle w:val="BodyText"/>
        <w:spacing w:before="0" w:after="200"/>
        <w:jc w:val="both"/>
        <w:rPr/>
      </w:pPr>
      <w:r>
        <w:rPr/>
        <w:t xml:space="preserve">• </w:t>
      </w:r>
      <w:r>
        <w:rPr>
          <w:rStyle w:val="Strong"/>
        </w:rPr>
        <w:t>Language/stack:</w:t>
      </w:r>
      <w:r>
        <w:rPr/>
        <w:t xml:space="preserve"> Python (pandas, scikit-learn, statsmodels for mixed effects, lifelines for survival).</w:t>
        <w:br/>
        <w:t xml:space="preserve">• </w:t>
      </w:r>
      <w:r>
        <w:rPr>
          <w:rStyle w:val="Strong"/>
        </w:rPr>
        <w:t>Preprocessing code snippets:</w:t>
      </w:r>
      <w:r>
        <w:rPr/>
        <w:t xml:space="preserve"> supply per-subject slope extraction (linear regression or mixed model), scaling, cluster calls.</w:t>
        <w:br/>
        <w:t xml:space="preserve">• </w:t>
      </w:r>
      <w:r>
        <w:rPr>
          <w:rStyle w:val="Strong"/>
        </w:rPr>
        <w:t>Runtime &amp; hardware:</w:t>
      </w:r>
      <w:r>
        <w:rPr/>
        <w:t xml:space="preserve"> modest — feasible on laptop for ~1k subjects.</w:t>
        <w:br/>
        <w:t xml:space="preserve">• </w:t>
      </w:r>
      <w:r>
        <w:rPr>
          <w:rStyle w:val="Strong"/>
        </w:rPr>
        <w:t>Data availability:</w:t>
      </w:r>
      <w:r>
        <w:rPr/>
        <w:t xml:space="preserve"> ADNI (requires data use agreement). </w:t>
      </w:r>
      <w:hyperlink r:id="rId14" w:tgtFrame="_blank">
        <w:r>
          <w:rPr>
            <w:rStyle w:val="Hyperlink"/>
          </w:rPr>
          <w:t>PMC</w:t>
        </w:r>
      </w:hyperlink>
    </w:p>
    <w:p>
      <w:pPr>
        <w:pStyle w:val="Heading2"/>
        <w:spacing w:before="0" w:after="200"/>
        <w:jc w:val="both"/>
        <w:rPr/>
      </w:pPr>
      <w:r>
        <w:rPr/>
        <w:t>X. References (selected)</w:t>
      </w:r>
    </w:p>
    <w:p>
      <w:pPr>
        <w:pStyle w:val="BodyText"/>
        <w:numPr>
          <w:ilvl w:val="0"/>
          <w:numId w:val="11"/>
        </w:numPr>
        <w:tabs>
          <w:tab w:val="clear" w:pos="720"/>
          <w:tab w:val="left" w:pos="0" w:leader="none"/>
        </w:tabs>
        <w:spacing w:before="0" w:after="200"/>
        <w:ind w:hanging="283" w:left="709"/>
        <w:jc w:val="both"/>
        <w:rPr/>
      </w:pPr>
      <w:r>
        <w:rPr/>
        <w:t xml:space="preserve">H. Alashwal, S. El-Halabi, M. A. Alaa, et al., “The Application of Unsupervised Clustering Methods to Alzheimer's Disease: A Review,” </w:t>
      </w:r>
      <w:r>
        <w:rPr>
          <w:rStyle w:val="Emphasis"/>
        </w:rPr>
        <w:t>Frontiers in Computational Neuroscience</w:t>
      </w:r>
      <w:r>
        <w:rPr/>
        <w:t xml:space="preserve">, 2019. </w:t>
      </w:r>
      <w:hyperlink r:id="rId15" w:tgtFrame="_blank">
        <w:r>
          <w:rPr>
            <w:rStyle w:val="Hyperlink"/>
          </w:rPr>
          <w:t>PMC</w:t>
        </w:r>
      </w:hyperlink>
    </w:p>
    <w:p>
      <w:pPr>
        <w:pStyle w:val="BodyText"/>
        <w:numPr>
          <w:ilvl w:val="0"/>
          <w:numId w:val="11"/>
        </w:numPr>
        <w:tabs>
          <w:tab w:val="clear" w:pos="720"/>
          <w:tab w:val="left" w:pos="0" w:leader="none"/>
        </w:tabs>
        <w:spacing w:before="0" w:after="200"/>
        <w:ind w:hanging="283" w:left="709"/>
        <w:jc w:val="both"/>
        <w:rPr/>
      </w:pPr>
      <w:r>
        <w:rPr/>
        <w:t xml:space="preserve">D. Gamberger, M. Lavrač, et al., “Identification of clusters of rapid and slow decliners among subjects at risk for Alzheimer’s disease,” </w:t>
      </w:r>
      <w:r>
        <w:rPr>
          <w:rStyle w:val="Emphasis"/>
        </w:rPr>
        <w:t>Scientific Reports</w:t>
      </w:r>
      <w:r>
        <w:rPr/>
        <w:t xml:space="preserve">, 2017. </w:t>
      </w:r>
      <w:hyperlink r:id="rId16" w:tgtFrame="_blank">
        <w:r>
          <w:rPr>
            <w:rStyle w:val="Hyperlink"/>
          </w:rPr>
          <w:t>Nature</w:t>
        </w:r>
      </w:hyperlink>
    </w:p>
    <w:p>
      <w:pPr>
        <w:pStyle w:val="BodyText"/>
        <w:numPr>
          <w:ilvl w:val="0"/>
          <w:numId w:val="11"/>
        </w:numPr>
        <w:tabs>
          <w:tab w:val="clear" w:pos="720"/>
          <w:tab w:val="left" w:pos="0" w:leader="none"/>
        </w:tabs>
        <w:spacing w:before="0" w:after="200"/>
        <w:ind w:hanging="283" w:left="709"/>
        <w:jc w:val="both"/>
        <w:rPr/>
      </w:pPr>
      <w:r>
        <w:rPr/>
        <w:t xml:space="preserve">X. Wang, et al., “Characterizing the clinical heterogeneity of early ...” (non-parametric k-means longitudinal clustering &amp; ADAS-Cog), 2024. </w:t>
      </w:r>
      <w:hyperlink r:id="rId17" w:tgtFrame="_blank">
        <w:r>
          <w:rPr>
            <w:rStyle w:val="Hyperlink"/>
          </w:rPr>
          <w:t>PMC</w:t>
        </w:r>
      </w:hyperlink>
    </w:p>
    <w:p>
      <w:pPr>
        <w:pStyle w:val="BodyText"/>
        <w:numPr>
          <w:ilvl w:val="0"/>
          <w:numId w:val="11"/>
        </w:numPr>
        <w:tabs>
          <w:tab w:val="clear" w:pos="720"/>
          <w:tab w:val="left" w:pos="0" w:leader="none"/>
        </w:tabs>
        <w:spacing w:before="0" w:after="200"/>
        <w:ind w:hanging="283" w:left="709"/>
        <w:jc w:val="both"/>
        <w:rPr/>
      </w:pPr>
      <w:r>
        <w:rPr/>
        <w:t xml:space="preserve">R. C. Petersen, et al., “Alzheimer's Disease Neuroimaging Initiative (ADNI),” </w:t>
      </w:r>
      <w:r>
        <w:rPr>
          <w:rStyle w:val="Emphasis"/>
        </w:rPr>
        <w:t>NeuroImage</w:t>
      </w:r>
      <w:r>
        <w:rPr/>
        <w:t xml:space="preserve"> (overview / data), 2010. </w:t>
      </w:r>
      <w:hyperlink r:id="rId18" w:tgtFrame="_blank">
        <w:r>
          <w:rPr>
            <w:rStyle w:val="Hyperlink"/>
          </w:rPr>
          <w:t>PMC</w:t>
        </w:r>
      </w:hyperlink>
    </w:p>
    <w:p>
      <w:pPr>
        <w:pStyle w:val="BodyText"/>
        <w:numPr>
          <w:ilvl w:val="0"/>
          <w:numId w:val="11"/>
        </w:numPr>
        <w:tabs>
          <w:tab w:val="clear" w:pos="720"/>
          <w:tab w:val="left" w:pos="0" w:leader="none"/>
        </w:tabs>
        <w:spacing w:before="0" w:after="200"/>
        <w:ind w:hanging="283" w:left="709"/>
        <w:jc w:val="both"/>
        <w:rPr/>
      </w:pPr>
      <w:r>
        <w:rPr/>
        <w:t xml:space="preserve">X. Y. Ge, et al., “Screening and predicting progression from high-risk mild ...” </w:t>
      </w:r>
      <w:r>
        <w:rPr>
          <w:rStyle w:val="Emphasis"/>
        </w:rPr>
        <w:t>Scientific Reports</w:t>
      </w:r>
      <w:r>
        <w:rPr/>
        <w:t xml:space="preserve">, 2021 — K-means clustering using ADAS and MMSE identified high/low risk clusters. </w:t>
      </w:r>
      <w:hyperlink r:id="rId19" w:tgtFrame="_blank">
        <w:r>
          <w:rPr>
            <w:rStyle w:val="Hyperlink"/>
          </w:rPr>
          <w:t>Nature</w:t>
        </w:r>
      </w:hyperlink>
    </w:p>
    <w:p>
      <w:pPr>
        <w:pStyle w:val="BodyText"/>
        <w:numPr>
          <w:ilvl w:val="0"/>
          <w:numId w:val="11"/>
        </w:numPr>
        <w:tabs>
          <w:tab w:val="clear" w:pos="720"/>
          <w:tab w:val="left" w:pos="0" w:leader="none"/>
        </w:tabs>
        <w:spacing w:before="0" w:after="200"/>
        <w:ind w:hanging="283" w:left="709"/>
        <w:jc w:val="both"/>
        <w:rPr/>
      </w:pPr>
      <w:r>
        <w:rPr/>
        <w:t xml:space="preserve">D. Wang, et al., “Clinical outcome-guided deep temporal clustering for ...,” 2024. (deep temporal clustering identifying clusters using ADAS-Cog, CDR-SB, MMSE). </w:t>
      </w:r>
      <w:hyperlink r:id="rId20" w:tgtFrame="_blank">
        <w:r>
          <w:rPr>
            <w:rStyle w:val="Hyperlink"/>
          </w:rPr>
          <w:t>sciencedirect.com</w:t>
        </w:r>
      </w:hyperlink>
    </w:p>
    <w:p>
      <w:pPr>
        <w:pStyle w:val="BodyText"/>
        <w:numPr>
          <w:ilvl w:val="0"/>
          <w:numId w:val="11"/>
        </w:numPr>
        <w:tabs>
          <w:tab w:val="clear" w:pos="720"/>
          <w:tab w:val="left" w:pos="0" w:leader="none"/>
        </w:tabs>
        <w:spacing w:before="0" w:after="200"/>
        <w:ind w:hanging="283" w:left="709"/>
        <w:jc w:val="both"/>
        <w:rPr/>
      </w:pPr>
      <w:r>
        <w:rPr/>
        <w:t xml:space="preserve">S. Zhang, et al., “Machine learning on longitudinal multi-modal data enables ...” </w:t>
      </w:r>
      <w:r>
        <w:rPr>
          <w:rStyle w:val="Emphasis"/>
        </w:rPr>
        <w:t>iScience</w:t>
      </w:r>
      <w:r>
        <w:rPr/>
        <w:t>, 2024. (disease states / trajectory modeling).</w:t>
      </w:r>
    </w:p>
    <w:p>
      <w:pPr>
        <w:pStyle w:val="Normal"/>
        <w:spacing w:before="0" w:after="200"/>
        <w:jc w:val="both"/>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mc.ncbi.nlm.nih.gov/articles/PMC6543980/?utm_source=chatgpt.com" TargetMode="External"/><Relationship Id="rId3" Type="http://schemas.openxmlformats.org/officeDocument/2006/relationships/hyperlink" Target="https://pmc.ncbi.nlm.nih.gov/articles/PMC6543980/?utm_source=chatgpt.com" TargetMode="External"/><Relationship Id="rId4" Type="http://schemas.openxmlformats.org/officeDocument/2006/relationships/hyperlink" Target="https://www.nature.com/articles/s41598-021-96914-3?utm_source=chatgpt.com" TargetMode="External"/><Relationship Id="rId5" Type="http://schemas.openxmlformats.org/officeDocument/2006/relationships/hyperlink" Target="https://pmc.ncbi.nlm.nih.gov/articles/PMC6543980/?utm_source=chatgpt.com" TargetMode="External"/><Relationship Id="rId6" Type="http://schemas.openxmlformats.org/officeDocument/2006/relationships/hyperlink" Target="https://pmc.ncbi.nlm.nih.gov/articles/PMC2809036/?utm_source=chatgpt.com" TargetMode="External"/><Relationship Id="rId7" Type="http://schemas.openxmlformats.org/officeDocument/2006/relationships/hyperlink" Target="https://www.nature.com/articles/s41598-017-06624-y?utm_source=chatgpt.com" TargetMode="External"/><Relationship Id="rId8" Type="http://schemas.openxmlformats.org/officeDocument/2006/relationships/hyperlink" Target="https://www.mdpi.com/2220-9964/6/3/63?utm_source=chatgpt.com" TargetMode="External"/><Relationship Id="rId9" Type="http://schemas.openxmlformats.org/officeDocument/2006/relationships/hyperlink" Target="https://www.nature.com/articles/s41598-017-06624-y?utm_source=chatgpt.com" TargetMode="External"/><Relationship Id="rId10" Type="http://schemas.openxmlformats.org/officeDocument/2006/relationships/hyperlink" Target="https://pmc.ncbi.nlm.nih.gov/articles/PMC2809036/?utm_source=chatgpt.com" TargetMode="External"/><Relationship Id="rId11" Type="http://schemas.openxmlformats.org/officeDocument/2006/relationships/hyperlink" Target="https://www.nature.com/articles/s41598-017-06624-y?utm_source=chatgpt.com" TargetMode="External"/><Relationship Id="rId12" Type="http://schemas.openxmlformats.org/officeDocument/2006/relationships/hyperlink" Target="https://alz-journals.onlinelibrary.wiley.com/doi/10.1002/alz.13164?utm_source=chatgpt.com" TargetMode="External"/><Relationship Id="rId13" Type="http://schemas.openxmlformats.org/officeDocument/2006/relationships/hyperlink" Target="https://pmc.ncbi.nlm.nih.gov/articles/PMC6543980/?utm_source=chatgpt.com" TargetMode="External"/><Relationship Id="rId14" Type="http://schemas.openxmlformats.org/officeDocument/2006/relationships/hyperlink" Target="https://pmc.ncbi.nlm.nih.gov/articles/PMC2809036/?utm_source=chatgpt.com" TargetMode="External"/><Relationship Id="rId15" Type="http://schemas.openxmlformats.org/officeDocument/2006/relationships/hyperlink" Target="https://pmc.ncbi.nlm.nih.gov/articles/PMC6543980/?utm_source=chatgpt.com" TargetMode="External"/><Relationship Id="rId16" Type="http://schemas.openxmlformats.org/officeDocument/2006/relationships/hyperlink" Target="https://www.nature.com/articles/s41598-017-06624-y?utm_source=chatgpt.com" TargetMode="External"/><Relationship Id="rId17" Type="http://schemas.openxmlformats.org/officeDocument/2006/relationships/hyperlink" Target="https://pmc.ncbi.nlm.nih.gov/articles/PMC11348433/?utm_source=chatgpt.com" TargetMode="External"/><Relationship Id="rId18" Type="http://schemas.openxmlformats.org/officeDocument/2006/relationships/hyperlink" Target="https://pmc.ncbi.nlm.nih.gov/articles/PMC2809036/?utm_source=chatgpt.com" TargetMode="External"/><Relationship Id="rId19" Type="http://schemas.openxmlformats.org/officeDocument/2006/relationships/hyperlink" Target="https://www.nature.com/articles/s41598-021-96914-3?utm_source=chatgpt.com" TargetMode="External"/><Relationship Id="rId20" Type="http://schemas.openxmlformats.org/officeDocument/2006/relationships/hyperlink" Target="https://www.sciencedirect.com/science/article/pii/S1532046424001503?utm_source=chatgpt.com"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4B045A-6513-4F13-ABC7-A1161718C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LibreOffice/25.2.6.2$Windows_X86_64 LibreOffice_project/729c5bfe710f5eb71ed3bbde9e06a6065e9c6c5d</Application>
  <AppVersion>15.0000</AppVersion>
  <Pages>6</Pages>
  <Words>1481</Words>
  <Characters>9979</Characters>
  <CharactersWithSpaces>11365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2025-11-03T09:00:24Z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