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7365D"/>
          <w:sz w:val="60"/>
        </w:rPr>
        <w:t>CREDIT RISK SCORING &amp;</w:t>
        <w:br/>
        <w:t>AUTOMATED APPROVAL</w:t>
      </w:r>
    </w:p>
    <w:p>
      <w:pPr>
        <w:jc w:val="center"/>
      </w:pPr>
      <w:r>
        <w:rPr>
          <w:color w:val="5B9BD5"/>
          <w:sz w:val="32"/>
        </w:rPr>
        <w:t>Professional Technical Project Documentation</w:t>
      </w:r>
    </w:p>
    <w:p/>
    <w:p>
      <w:pPr>
        <w:jc w:val="center"/>
      </w:pPr>
      <w:r>
        <w:rPr>
          <w:sz w:val="22"/>
        </w:rPr>
        <w:t>Machine Learning • Credit Risk Analytics • Probability Scoring • Decision Automation</w:t>
      </w:r>
    </w:p>
    <w:p/>
    <w:tbl>
      <w:tblPr>
        <w:tblStyle w:val="TableGrid"/>
        <w:tblW w:type="auto" w:w="0"/>
        <w:jc w:val="center"/>
        <w:tblLook w:firstColumn="1" w:firstRow="1" w:lastColumn="0" w:lastRow="0" w:noHBand="0" w:noVBand="1" w:val="04A0"/>
      </w:tblPr>
      <w:tblGrid>
        <w:gridCol w:w="5076"/>
        <w:gridCol w:w="5076"/>
      </w:tblGrid>
      <w:tr>
        <w:tc>
          <w:tcPr>
            <w:tcW w:type="dxa" w:w="5076"/>
            <w:vAlign w:val="center"/>
            <w:shd w:fill="17365D"/>
          </w:tcPr>
          <w:p>
            <w:r/>
            <w:r>
              <w:rPr>
                <w:b/>
                <w:color w:val="FFFFFF"/>
                <w:sz w:val="18"/>
              </w:rPr>
              <w:t>Project Type</w:t>
            </w:r>
          </w:p>
        </w:tc>
        <w:tc>
          <w:tcPr>
            <w:tcW w:type="dxa" w:w="5076"/>
            <w:vAlign w:val="center"/>
          </w:tcPr>
          <w:p>
            <w:r/>
            <w:r>
              <w:rPr>
                <w:b w:val="0"/>
                <w:sz w:val="18"/>
              </w:rPr>
              <w:t>Machine Learning / Credit Risk Analytics</w:t>
            </w:r>
          </w:p>
        </w:tc>
      </w:tr>
      <w:tr>
        <w:tc>
          <w:tcPr>
            <w:tcW w:type="dxa" w:w="5076"/>
            <w:vAlign w:val="center"/>
            <w:shd w:fill="17365D"/>
          </w:tcPr>
          <w:p>
            <w:r/>
            <w:r>
              <w:rPr>
                <w:b/>
                <w:color w:val="FFFFFF"/>
                <w:sz w:val="18"/>
              </w:rPr>
              <w:t>Primary Notebook</w:t>
            </w:r>
          </w:p>
        </w:tc>
        <w:tc>
          <w:tcPr>
            <w:tcW w:type="dxa" w:w="5076"/>
            <w:vAlign w:val="center"/>
          </w:tcPr>
          <w:p>
            <w:r/>
            <w:r>
              <w:rPr>
                <w:b w:val="0"/>
                <w:sz w:val="18"/>
              </w:rPr>
              <w:t>project_cc_approval.ipynb</w:t>
            </w:r>
          </w:p>
        </w:tc>
      </w:tr>
      <w:tr>
        <w:tc>
          <w:tcPr>
            <w:tcW w:type="dxa" w:w="5076"/>
            <w:vAlign w:val="center"/>
            <w:shd w:fill="17365D"/>
          </w:tcPr>
          <w:p>
            <w:r/>
            <w:r>
              <w:rPr>
                <w:b/>
                <w:color w:val="FFFFFF"/>
                <w:sz w:val="18"/>
              </w:rPr>
              <w:t>Technology Stack</w:t>
            </w:r>
          </w:p>
        </w:tc>
        <w:tc>
          <w:tcPr>
            <w:tcW w:type="dxa" w:w="5076"/>
            <w:vAlign w:val="center"/>
          </w:tcPr>
          <w:p>
            <w:r/>
            <w:r>
              <w:rPr>
                <w:b w:val="0"/>
                <w:sz w:val="18"/>
              </w:rPr>
              <w:t>Python, Pandas, Scikit-learn, imbalanced-learn, Matplotlib, Seaborn</w:t>
            </w:r>
          </w:p>
        </w:tc>
      </w:tr>
      <w:tr>
        <w:tc>
          <w:tcPr>
            <w:tcW w:type="dxa" w:w="5076"/>
            <w:vAlign w:val="center"/>
            <w:shd w:fill="17365D"/>
          </w:tcPr>
          <w:p>
            <w:r/>
            <w:r>
              <w:rPr>
                <w:b/>
                <w:color w:val="FFFFFF"/>
                <w:sz w:val="18"/>
              </w:rPr>
              <w:t>Document Status</w:t>
            </w:r>
          </w:p>
        </w:tc>
        <w:tc>
          <w:tcPr>
            <w:tcW w:type="dxa" w:w="5076"/>
            <w:vAlign w:val="center"/>
          </w:tcPr>
          <w:p>
            <w:r/>
            <w:r>
              <w:rPr>
                <w:b w:val="0"/>
                <w:sz w:val="18"/>
              </w:rPr>
              <w:t>Technical project documentation – based on executed notebook content</w:t>
            </w:r>
          </w:p>
        </w:tc>
      </w:tr>
    </w:tbl>
    <w:p/>
    <w:tbl>
      <w:tblPr>
        <w:tblStyle w:val="TableGrid"/>
        <w:tblW w:type="auto" w:w="0"/>
        <w:tblLook w:firstColumn="1" w:firstRow="1" w:lastColumn="0" w:lastRow="0" w:noHBand="0" w:noVBand="1" w:val="04A0"/>
      </w:tblPr>
      <w:tblGrid>
        <w:gridCol w:w="10152"/>
      </w:tblGrid>
      <w:tr>
        <w:tc>
          <w:tcPr>
            <w:tcW w:type="dxa" w:w="10152"/>
            <w:shd w:fill="F2F2F2"/>
          </w:tcPr>
          <w:p>
            <w:r>
              <w:rPr>
                <w:b/>
                <w:color w:val="17365D"/>
              </w:rPr>
              <w:t>Source &amp; scope</w:t>
            </w:r>
            <w:r>
              <w:br/>
              <w:t>This document is derived from the supplied Jupyter/Colab notebook. It documents the workflow, implemented transformations, model configurations, reported evaluation results, scoring logic, and observed limitations. No external assumptions have been substituted for notebook results.</w:t>
            </w:r>
          </w:p>
        </w:tc>
      </w:tr>
    </w:tbl>
    <w:p/>
    <w:p>
      <w:r>
        <w:br w:type="page"/>
      </w:r>
    </w:p>
    <w:p>
      <w:pPr>
        <w:pStyle w:val="Heading1"/>
      </w:pPr>
      <w:r>
        <w:t>Document Control</w:t>
      </w:r>
    </w:p>
    <w:tbl>
      <w:tblPr>
        <w:tblStyle w:val="TableGrid"/>
        <w:tblW w:type="auto" w:w="0"/>
        <w:jc w:val="center"/>
        <w:tblLook w:firstColumn="1" w:firstRow="1" w:lastColumn="0" w:lastRow="0" w:noHBand="0" w:noVBand="1" w:val="04A0"/>
      </w:tblPr>
      <w:tblGrid>
        <w:gridCol w:w="2538"/>
        <w:gridCol w:w="2538"/>
        <w:gridCol w:w="2538"/>
        <w:gridCol w:w="2538"/>
      </w:tblGrid>
      <w:tr>
        <w:trPr>
          <w:tblHeader w:val="true"/>
        </w:trPr>
        <w:tc>
          <w:tcPr>
            <w:tcW w:type="dxa" w:w="2538"/>
            <w:vAlign w:val="center"/>
            <w:shd w:fill="17365D"/>
          </w:tcPr>
          <w:p>
            <w:r/>
            <w:r>
              <w:rPr>
                <w:b/>
                <w:color w:val="FFFFFF"/>
                <w:sz w:val="18"/>
              </w:rPr>
              <w:t>Version</w:t>
            </w:r>
          </w:p>
        </w:tc>
        <w:tc>
          <w:tcPr>
            <w:tcW w:type="dxa" w:w="2538"/>
            <w:vAlign w:val="center"/>
            <w:shd w:fill="17365D"/>
          </w:tcPr>
          <w:p>
            <w:r/>
            <w:r>
              <w:rPr>
                <w:b/>
                <w:color w:val="FFFFFF"/>
                <w:sz w:val="18"/>
              </w:rPr>
              <w:t>Date</w:t>
            </w:r>
          </w:p>
        </w:tc>
        <w:tc>
          <w:tcPr>
            <w:tcW w:type="dxa" w:w="2538"/>
            <w:vAlign w:val="center"/>
            <w:shd w:fill="17365D"/>
          </w:tcPr>
          <w:p>
            <w:r/>
            <w:r>
              <w:rPr>
                <w:b/>
                <w:color w:val="FFFFFF"/>
                <w:sz w:val="18"/>
              </w:rPr>
              <w:t>Description</w:t>
            </w:r>
          </w:p>
        </w:tc>
        <w:tc>
          <w:tcPr>
            <w:tcW w:type="dxa" w:w="2538"/>
            <w:vAlign w:val="center"/>
            <w:shd w:fill="17365D"/>
          </w:tcPr>
          <w:p>
            <w:r/>
            <w:r>
              <w:rPr>
                <w:b/>
                <w:color w:val="FFFFFF"/>
                <w:sz w:val="18"/>
              </w:rPr>
              <w:t>Basis</w:t>
            </w:r>
          </w:p>
        </w:tc>
      </w:tr>
      <w:tr>
        <w:tc>
          <w:tcPr>
            <w:tcW w:type="dxa" w:w="2538"/>
            <w:vAlign w:val="center"/>
          </w:tcPr>
          <w:p>
            <w:r/>
            <w:r>
              <w:rPr>
                <w:b w:val="0"/>
                <w:sz w:val="17"/>
              </w:rPr>
              <w:t>1.0</w:t>
            </w:r>
          </w:p>
        </w:tc>
        <w:tc>
          <w:tcPr>
            <w:tcW w:type="dxa" w:w="2538"/>
            <w:vAlign w:val="center"/>
          </w:tcPr>
          <w:p>
            <w:r/>
            <w:r>
              <w:rPr>
                <w:b w:val="0"/>
                <w:sz w:val="17"/>
              </w:rPr>
              <w:t>30-Sep-2026</w:t>
            </w:r>
          </w:p>
        </w:tc>
        <w:tc>
          <w:tcPr>
            <w:tcW w:type="dxa" w:w="2538"/>
            <w:vAlign w:val="center"/>
          </w:tcPr>
          <w:p>
            <w:r/>
            <w:r>
              <w:rPr>
                <w:b w:val="0"/>
                <w:sz w:val="17"/>
              </w:rPr>
              <w:t>First professional technical documentation</w:t>
            </w:r>
          </w:p>
        </w:tc>
        <w:tc>
          <w:tcPr>
            <w:tcW w:type="dxa" w:w="2538"/>
            <w:vAlign w:val="center"/>
          </w:tcPr>
          <w:p>
            <w:r/>
            <w:r>
              <w:rPr>
                <w:b w:val="0"/>
                <w:sz w:val="17"/>
              </w:rPr>
              <w:t>Supplied project notebook</w:t>
            </w:r>
          </w:p>
        </w:tc>
      </w:tr>
    </w:tbl>
    <w:p/>
    <w:p>
      <w:pPr>
        <w:pStyle w:val="Heading1"/>
      </w:pPr>
      <w:r>
        <w:t>Table of Contents</w:t>
      </w:r>
    </w:p>
    <w:p>
      <w:r>
        <w:fldChar w:fldCharType="begin"/>
        <w:instrText xml:space="preserve">TOC \o "1-3" \h \z \u</w:instrText>
        <w:fldChar w:fldCharType="end"/>
      </w:r>
    </w:p>
    <w:p>
      <w:r>
        <w:br w:type="page"/>
      </w:r>
    </w:p>
    <w:p>
      <w:pPr>
        <w:pStyle w:val="Heading1"/>
      </w:pPr>
      <w:r>
        <w:t>1. Executive Summary</w:t>
      </w:r>
    </w:p>
    <w:p>
      <w:r>
        <w:t>The project implements an end-to-end credit risk analytics and automated approval workflow using applicant demographic/application data and monthly credit-history records. The workflow loads two datasets, performs data-quality checks, resolves duplicate applicant identifiers, engineers interpretable financial and employment features, explores the distributions and relationship of features with credit status, creates a binary bad-client target, addresses severe class imbalance, and trains machine-learning models for risk prediction.</w:t>
      </w:r>
    </w:p>
    <w:p>
      <w:r>
        <w:t>Two principal modeling approaches are documented. The initial Logistic Regression model is used as a transparent probability-based scoring model. A soft-voting ensemble combines a Random Forest and Logistic Regression, with model probabilities subsequently transformed into a FICO-style 300–850 consolidated score. The notebook also includes hyperparameter-tuning workflows using GridSearchCV/RandomizedSearchCV and comparative feature-importance analysis.</w:t>
      </w:r>
    </w:p>
    <w:tbl>
      <w:tblPr>
        <w:tblStyle w:val="TableGrid"/>
        <w:tblW w:type="auto" w:w="0"/>
        <w:tblLook w:firstColumn="1" w:firstRow="1" w:lastColumn="0" w:lastRow="0" w:noHBand="0" w:noVBand="1" w:val="04A0"/>
      </w:tblPr>
      <w:tblGrid>
        <w:gridCol w:w="10152"/>
      </w:tblGrid>
      <w:tr>
        <w:tc>
          <w:tcPr>
            <w:tcW w:type="dxa" w:w="10152"/>
            <w:shd w:fill="EAF2F8"/>
          </w:tcPr>
          <w:p>
            <w:r>
              <w:rPr>
                <w:b/>
                <w:color w:val="17365D"/>
              </w:rPr>
              <w:t>Key reported results</w:t>
            </w:r>
            <w:r>
              <w:br/>
              <w:t>The initial Logistic Regression reports ROC AUC = 0.6336. The ensemble model reports ROC AUC = 0.6468 on its test set. The ensemble classification report shows 0.05 precision and 0.33 recall for the bad-client class, indicating that minority-class identification remains difficult despite the imbalance treatment.</w:t>
            </w:r>
          </w:p>
        </w:tc>
      </w:tr>
    </w:tbl>
    <w:p/>
    <w:tbl>
      <w:tblPr>
        <w:tblStyle w:val="TableGrid"/>
        <w:tblW w:type="auto" w:w="0"/>
        <w:tblLook w:firstColumn="1" w:firstRow="1" w:lastColumn="0" w:lastRow="0" w:noHBand="0" w:noVBand="1" w:val="04A0"/>
      </w:tblPr>
      <w:tblGrid>
        <w:gridCol w:w="10152"/>
      </w:tblGrid>
      <w:tr>
        <w:tc>
          <w:tcPr>
            <w:tcW w:type="dxa" w:w="10152"/>
            <w:shd w:fill="FFF2CC"/>
          </w:tcPr>
          <w:p>
            <w:r>
              <w:rPr>
                <w:b/>
                <w:color w:val="17365D"/>
              </w:rPr>
              <w:t>Important implementation observation</w:t>
            </w:r>
            <w:r>
              <w:br/>
              <w:t>The notebook reports that, with the implemented consolidated-score decision rule, all 36,457 scored records were classified as REJECT; a stricter threshold of 650 also produced zero approvals. This is a material business-rule calibration issue to investigate before production use.</w:t>
            </w:r>
          </w:p>
        </w:tc>
      </w:tr>
    </w:tbl>
    <w:p/>
    <w:p>
      <w:pPr>
        <w:pStyle w:val="Heading1"/>
      </w:pPr>
      <w:r>
        <w:t>2. Project Objectives</w:t>
      </w:r>
    </w:p>
    <w:p>
      <w:pPr>
        <w:pStyle w:val="ListBullet"/>
        <w:spacing w:after="60"/>
      </w:pPr>
      <w:r>
        <w:t>Integrate applicant-level application information with monthly credit-history information.</w:t>
      </w:r>
    </w:p>
    <w:p>
      <w:pPr>
        <w:pStyle w:val="ListBullet"/>
        <w:spacing w:after="60"/>
      </w:pPr>
      <w:r>
        <w:t>Construct a binary risk target representing whether an applicant has ever reached a defined delinquency status.</w:t>
      </w:r>
    </w:p>
    <w:p>
      <w:pPr>
        <w:pStyle w:val="ListBullet"/>
        <w:spacing w:after="60"/>
      </w:pPr>
      <w:r>
        <w:t>Prepare a machine-learning-ready feature set through cleaning, transformation, encoding, scaling and imbalance handling.</w:t>
      </w:r>
    </w:p>
    <w:p>
      <w:pPr>
        <w:pStyle w:val="ListBullet"/>
        <w:spacing w:after="60"/>
      </w:pPr>
      <w:r>
        <w:t>Develop a transparent Logistic Regression credit-risk model.</w:t>
      </w:r>
    </w:p>
    <w:p>
      <w:pPr>
        <w:pStyle w:val="ListBullet"/>
        <w:spacing w:after="60"/>
      </w:pPr>
      <w:r>
        <w:t>Develop a Random Forest + Logistic Regression soft-voting ensemble.</w:t>
      </w:r>
    </w:p>
    <w:p>
      <w:pPr>
        <w:pStyle w:val="ListBullet"/>
        <w:spacing w:after="60"/>
      </w:pPr>
      <w:r>
        <w:t>Convert predicted bad-client probability into a 300–850 FICO-style consolidated score using log-odds calibration.</w:t>
      </w:r>
    </w:p>
    <w:p>
      <w:pPr>
        <w:pStyle w:val="ListBullet"/>
        <w:spacing w:after="60"/>
      </w:pPr>
      <w:r>
        <w:t>Translate the score into an automated APPROVE / REJECT decision using configurable thresholds.</w:t>
      </w:r>
    </w:p>
    <w:p>
      <w:pPr>
        <w:pStyle w:val="ListBullet"/>
        <w:spacing w:after="60"/>
      </w:pPr>
      <w:r>
        <w:t>Analyze model performance and feature importance to support interpretation and further refinement.</w:t>
      </w:r>
    </w:p>
    <w:p>
      <w:pPr>
        <w:pStyle w:val="Heading1"/>
      </w:pPr>
      <w:r>
        <w:t>3. Solution Scope &amp; Architecture</w:t>
      </w:r>
    </w:p>
    <w:p>
      <w:r>
        <w:t>The implemented solution can be viewed as seven logical stages: data ingestion, data quality, feature engineering, preprocessing/imbalance treatment, model development, score calibration, and decisioning.</w:t>
      </w:r>
    </w:p>
    <w:p>
      <w:pPr>
        <w:jc w:val="center"/>
      </w:pPr>
      <w:r>
        <w:drawing>
          <wp:inline xmlns:a="http://schemas.openxmlformats.org/drawingml/2006/main" xmlns:pic="http://schemas.openxmlformats.org/drawingml/2006/picture">
            <wp:extent cx="6309360" cy="2596553"/>
            <wp:docPr id="1" name="Picture 1"/>
            <wp:cNvGraphicFramePr>
              <a:graphicFrameLocks noChangeAspect="1"/>
            </wp:cNvGraphicFramePr>
            <a:graphic>
              <a:graphicData uri="http://schemas.openxmlformats.org/drawingml/2006/picture">
                <pic:pic>
                  <pic:nvPicPr>
                    <pic:cNvPr id="0" name="credit_risk_pipeline.png"/>
                    <pic:cNvPicPr/>
                  </pic:nvPicPr>
                  <pic:blipFill>
                    <a:blip r:embed="rId11"/>
                    <a:stretch>
                      <a:fillRect/>
                    </a:stretch>
                  </pic:blipFill>
                  <pic:spPr>
                    <a:xfrm>
                      <a:off x="0" y="0"/>
                      <a:ext cx="6309360" cy="2596553"/>
                    </a:xfrm>
                    <a:prstGeom prst="rect"/>
                  </pic:spPr>
                </pic:pic>
              </a:graphicData>
            </a:graphic>
          </wp:inline>
        </w:drawing>
      </w:r>
    </w:p>
    <w:p>
      <w:pPr>
        <w:pStyle w:val="Caption"/>
      </w:pPr>
      <w:r>
        <w:t>Figure 1. End-to-end credit-risk analytics and decisioning architecture.</w:t>
      </w:r>
    </w:p>
    <w:p>
      <w:pPr>
        <w:pStyle w:val="Heading2"/>
      </w:pPr>
      <w:r>
        <w:t>3.1 Technology Stack</w:t>
      </w:r>
    </w:p>
    <w:tbl>
      <w:tblPr>
        <w:tblStyle w:val="TableGrid"/>
        <w:tblW w:type="auto" w:w="0"/>
        <w:jc w:val="center"/>
        <w:tblLook w:firstColumn="1" w:firstRow="1" w:lastColumn="0" w:lastRow="0" w:noHBand="0" w:noVBand="1" w:val="04A0"/>
      </w:tblPr>
      <w:tblGrid>
        <w:gridCol w:w="3384"/>
        <w:gridCol w:w="3384"/>
        <w:gridCol w:w="3384"/>
      </w:tblGrid>
      <w:tr>
        <w:trPr>
          <w:tblHeader w:val="true"/>
        </w:trPr>
        <w:tc>
          <w:tcPr>
            <w:tcW w:type="dxa" w:w="3384"/>
            <w:vAlign w:val="center"/>
            <w:shd w:fill="17365D"/>
          </w:tcPr>
          <w:p>
            <w:r/>
            <w:r>
              <w:rPr>
                <w:b/>
                <w:color w:val="FFFFFF"/>
                <w:sz w:val="18"/>
              </w:rPr>
              <w:t>Component</w:t>
            </w:r>
          </w:p>
        </w:tc>
        <w:tc>
          <w:tcPr>
            <w:tcW w:type="dxa" w:w="3384"/>
            <w:vAlign w:val="center"/>
            <w:shd w:fill="17365D"/>
          </w:tcPr>
          <w:p>
            <w:r/>
            <w:r>
              <w:rPr>
                <w:b/>
                <w:color w:val="FFFFFF"/>
                <w:sz w:val="18"/>
              </w:rPr>
              <w:t>Technology / Library</w:t>
            </w:r>
          </w:p>
        </w:tc>
        <w:tc>
          <w:tcPr>
            <w:tcW w:type="dxa" w:w="3384"/>
            <w:vAlign w:val="center"/>
            <w:shd w:fill="17365D"/>
          </w:tcPr>
          <w:p>
            <w:r/>
            <w:r>
              <w:rPr>
                <w:b/>
                <w:color w:val="FFFFFF"/>
                <w:sz w:val="18"/>
              </w:rPr>
              <w:t>Role</w:t>
            </w:r>
          </w:p>
        </w:tc>
      </w:tr>
      <w:tr>
        <w:tc>
          <w:tcPr>
            <w:tcW w:type="dxa" w:w="3384"/>
            <w:vAlign w:val="center"/>
          </w:tcPr>
          <w:p>
            <w:r/>
            <w:r>
              <w:rPr>
                <w:b w:val="0"/>
                <w:sz w:val="17"/>
              </w:rPr>
              <w:t>Data handling</w:t>
            </w:r>
          </w:p>
        </w:tc>
        <w:tc>
          <w:tcPr>
            <w:tcW w:type="dxa" w:w="3384"/>
            <w:vAlign w:val="center"/>
          </w:tcPr>
          <w:p>
            <w:r/>
            <w:r>
              <w:rPr>
                <w:b w:val="0"/>
                <w:sz w:val="17"/>
              </w:rPr>
              <w:t>Pandas</w:t>
            </w:r>
          </w:p>
        </w:tc>
        <w:tc>
          <w:tcPr>
            <w:tcW w:type="dxa" w:w="3384"/>
            <w:vAlign w:val="center"/>
          </w:tcPr>
          <w:p>
            <w:r/>
            <w:r>
              <w:rPr>
                <w:b w:val="0"/>
                <w:sz w:val="17"/>
              </w:rPr>
              <w:t>CSV ingestion, transformation, aggregation and analysis</w:t>
            </w:r>
          </w:p>
        </w:tc>
      </w:tr>
      <w:tr>
        <w:tc>
          <w:tcPr>
            <w:tcW w:type="dxa" w:w="3384"/>
            <w:vAlign w:val="center"/>
          </w:tcPr>
          <w:p>
            <w:r/>
            <w:r>
              <w:rPr>
                <w:b w:val="0"/>
                <w:sz w:val="17"/>
              </w:rPr>
              <w:t>Numerical processing</w:t>
            </w:r>
          </w:p>
        </w:tc>
        <w:tc>
          <w:tcPr>
            <w:tcW w:type="dxa" w:w="3384"/>
            <w:vAlign w:val="center"/>
          </w:tcPr>
          <w:p>
            <w:r/>
            <w:r>
              <w:rPr>
                <w:b w:val="0"/>
                <w:sz w:val="17"/>
              </w:rPr>
              <w:t>NumPy</w:t>
            </w:r>
          </w:p>
        </w:tc>
        <w:tc>
          <w:tcPr>
            <w:tcW w:type="dxa" w:w="3384"/>
            <w:vAlign w:val="center"/>
          </w:tcPr>
          <w:p>
            <w:r/>
            <w:r>
              <w:rPr>
                <w:b w:val="0"/>
                <w:sz w:val="17"/>
              </w:rPr>
              <w:t>Numerical transformations and scoring calculations</w:t>
            </w:r>
          </w:p>
        </w:tc>
      </w:tr>
      <w:tr>
        <w:tc>
          <w:tcPr>
            <w:tcW w:type="dxa" w:w="3384"/>
            <w:vAlign w:val="center"/>
          </w:tcPr>
          <w:p>
            <w:r/>
            <w:r>
              <w:rPr>
                <w:b w:val="0"/>
                <w:sz w:val="17"/>
              </w:rPr>
              <w:t>Machine learning</w:t>
            </w:r>
          </w:p>
        </w:tc>
        <w:tc>
          <w:tcPr>
            <w:tcW w:type="dxa" w:w="3384"/>
            <w:vAlign w:val="center"/>
          </w:tcPr>
          <w:p>
            <w:r/>
            <w:r>
              <w:rPr>
                <w:b w:val="0"/>
                <w:sz w:val="17"/>
              </w:rPr>
              <w:t>Scikit-learn</w:t>
            </w:r>
          </w:p>
        </w:tc>
        <w:tc>
          <w:tcPr>
            <w:tcW w:type="dxa" w:w="3384"/>
            <w:vAlign w:val="center"/>
          </w:tcPr>
          <w:p>
            <w:r/>
            <w:r>
              <w:rPr>
                <w:b w:val="0"/>
                <w:sz w:val="17"/>
              </w:rPr>
              <w:t>Model training, preprocessing, splitting and evaluation</w:t>
            </w:r>
          </w:p>
        </w:tc>
      </w:tr>
      <w:tr>
        <w:tc>
          <w:tcPr>
            <w:tcW w:type="dxa" w:w="3384"/>
            <w:vAlign w:val="center"/>
          </w:tcPr>
          <w:p>
            <w:r/>
            <w:r>
              <w:rPr>
                <w:b w:val="0"/>
                <w:sz w:val="17"/>
              </w:rPr>
              <w:t>Imbalance handling</w:t>
            </w:r>
          </w:p>
        </w:tc>
        <w:tc>
          <w:tcPr>
            <w:tcW w:type="dxa" w:w="3384"/>
            <w:vAlign w:val="center"/>
          </w:tcPr>
          <w:p>
            <w:r/>
            <w:r>
              <w:rPr>
                <w:b w:val="0"/>
                <w:sz w:val="17"/>
              </w:rPr>
              <w:t>imbalanced-learn / SMOTE</w:t>
            </w:r>
          </w:p>
        </w:tc>
        <w:tc>
          <w:tcPr>
            <w:tcW w:type="dxa" w:w="3384"/>
            <w:vAlign w:val="center"/>
          </w:tcPr>
          <w:p>
            <w:r/>
            <w:r>
              <w:rPr>
                <w:b w:val="0"/>
                <w:sz w:val="17"/>
              </w:rPr>
              <w:t>Synthetic minority-class oversampling</w:t>
            </w:r>
          </w:p>
        </w:tc>
      </w:tr>
      <w:tr>
        <w:tc>
          <w:tcPr>
            <w:tcW w:type="dxa" w:w="3384"/>
            <w:vAlign w:val="center"/>
          </w:tcPr>
          <w:p>
            <w:r/>
            <w:r>
              <w:rPr>
                <w:b w:val="0"/>
                <w:sz w:val="17"/>
              </w:rPr>
              <w:t>Visualization</w:t>
            </w:r>
          </w:p>
        </w:tc>
        <w:tc>
          <w:tcPr>
            <w:tcW w:type="dxa" w:w="3384"/>
            <w:vAlign w:val="center"/>
          </w:tcPr>
          <w:p>
            <w:r/>
            <w:r>
              <w:rPr>
                <w:b w:val="0"/>
                <w:sz w:val="17"/>
              </w:rPr>
              <w:t>Matplotlib / Seaborn</w:t>
            </w:r>
          </w:p>
        </w:tc>
        <w:tc>
          <w:tcPr>
            <w:tcW w:type="dxa" w:w="3384"/>
            <w:vAlign w:val="center"/>
          </w:tcPr>
          <w:p>
            <w:r/>
            <w:r>
              <w:rPr>
                <w:b w:val="0"/>
                <w:sz w:val="17"/>
              </w:rPr>
              <w:t>EDA, distributions, ROC and feature-importance visualizations</w:t>
            </w:r>
          </w:p>
        </w:tc>
      </w:tr>
      <w:tr>
        <w:tc>
          <w:tcPr>
            <w:tcW w:type="dxa" w:w="3384"/>
            <w:vAlign w:val="center"/>
          </w:tcPr>
          <w:p>
            <w:r/>
            <w:r>
              <w:rPr>
                <w:b w:val="0"/>
                <w:sz w:val="17"/>
              </w:rPr>
              <w:t>Notebook runtime</w:t>
            </w:r>
          </w:p>
        </w:tc>
        <w:tc>
          <w:tcPr>
            <w:tcW w:type="dxa" w:w="3384"/>
            <w:vAlign w:val="center"/>
          </w:tcPr>
          <w:p>
            <w:r/>
            <w:r>
              <w:rPr>
                <w:b w:val="0"/>
                <w:sz w:val="17"/>
              </w:rPr>
              <w:t>Python 3 / Colab-compatible</w:t>
            </w:r>
          </w:p>
        </w:tc>
        <w:tc>
          <w:tcPr>
            <w:tcW w:type="dxa" w:w="3384"/>
            <w:vAlign w:val="center"/>
          </w:tcPr>
          <w:p>
            <w:r/>
            <w:r>
              <w:rPr>
                <w:b w:val="0"/>
                <w:sz w:val="17"/>
              </w:rPr>
              <w:t>Interactive analysis and model development</w:t>
            </w:r>
          </w:p>
        </w:tc>
      </w:tr>
    </w:tbl>
    <w:p/>
    <w:p>
      <w:pPr>
        <w:pStyle w:val="Heading1"/>
      </w:pPr>
      <w:r>
        <w:t>4. Data Sources &amp; Data Profile</w:t>
      </w:r>
    </w:p>
    <w:p>
      <w:r>
        <w:t>The notebook uses two source files. The application file contains one row per application record before duplicate-ID handling; the credit file contains monthly observations for applicants.</w:t>
      </w:r>
    </w:p>
    <w:tbl>
      <w:tblPr>
        <w:tblStyle w:val="TableGrid"/>
        <w:tblW w:type="auto" w:w="0"/>
        <w:jc w:val="center"/>
        <w:tblLook w:firstColumn="1" w:firstRow="1" w:lastColumn="0" w:lastRow="0" w:noHBand="0" w:noVBand="1" w:val="04A0"/>
      </w:tblPr>
      <w:tblGrid>
        <w:gridCol w:w="2030"/>
        <w:gridCol w:w="2030"/>
        <w:gridCol w:w="2030"/>
        <w:gridCol w:w="2030"/>
        <w:gridCol w:w="2030"/>
      </w:tblGrid>
      <w:tr>
        <w:trPr>
          <w:tblHeader w:val="true"/>
        </w:trPr>
        <w:tc>
          <w:tcPr>
            <w:tcW w:type="dxa" w:w="2030"/>
            <w:vAlign w:val="center"/>
            <w:shd w:fill="17365D"/>
          </w:tcPr>
          <w:p>
            <w:r/>
            <w:r>
              <w:rPr>
                <w:b/>
                <w:color w:val="FFFFFF"/>
                <w:sz w:val="18"/>
              </w:rPr>
              <w:t>Dataset</w:t>
            </w:r>
          </w:p>
        </w:tc>
        <w:tc>
          <w:tcPr>
            <w:tcW w:type="dxa" w:w="2030"/>
            <w:vAlign w:val="center"/>
            <w:shd w:fill="17365D"/>
          </w:tcPr>
          <w:p>
            <w:r/>
            <w:r>
              <w:rPr>
                <w:b/>
                <w:color w:val="FFFFFF"/>
                <w:sz w:val="18"/>
              </w:rPr>
              <w:t>Rows</w:t>
            </w:r>
          </w:p>
        </w:tc>
        <w:tc>
          <w:tcPr>
            <w:tcW w:type="dxa" w:w="2030"/>
            <w:vAlign w:val="center"/>
            <w:shd w:fill="17365D"/>
          </w:tcPr>
          <w:p>
            <w:r/>
            <w:r>
              <w:rPr>
                <w:b/>
                <w:color w:val="FFFFFF"/>
                <w:sz w:val="18"/>
              </w:rPr>
              <w:t>Columns</w:t>
            </w:r>
          </w:p>
        </w:tc>
        <w:tc>
          <w:tcPr>
            <w:tcW w:type="dxa" w:w="2030"/>
            <w:vAlign w:val="center"/>
            <w:shd w:fill="17365D"/>
          </w:tcPr>
          <w:p>
            <w:r/>
            <w:r>
              <w:rPr>
                <w:b/>
                <w:color w:val="FFFFFF"/>
                <w:sz w:val="18"/>
              </w:rPr>
              <w:t>Key fields</w:t>
            </w:r>
          </w:p>
        </w:tc>
        <w:tc>
          <w:tcPr>
            <w:tcW w:type="dxa" w:w="2030"/>
            <w:vAlign w:val="center"/>
            <w:shd w:fill="17365D"/>
          </w:tcPr>
          <w:p>
            <w:r/>
            <w:r>
              <w:rPr>
                <w:b/>
                <w:color w:val="FFFFFF"/>
                <w:sz w:val="18"/>
              </w:rPr>
              <w:t>Purpose</w:t>
            </w:r>
          </w:p>
        </w:tc>
      </w:tr>
      <w:tr>
        <w:tc>
          <w:tcPr>
            <w:tcW w:type="dxa" w:w="2030"/>
            <w:vAlign w:val="center"/>
          </w:tcPr>
          <w:p>
            <w:r/>
            <w:r>
              <w:rPr>
                <w:b w:val="0"/>
                <w:sz w:val="17"/>
              </w:rPr>
              <w:t>application_record.csv</w:t>
            </w:r>
          </w:p>
        </w:tc>
        <w:tc>
          <w:tcPr>
            <w:tcW w:type="dxa" w:w="2030"/>
            <w:vAlign w:val="center"/>
          </w:tcPr>
          <w:p>
            <w:r/>
            <w:r>
              <w:rPr>
                <w:b w:val="0"/>
                <w:sz w:val="17"/>
              </w:rPr>
              <w:t>438,557</w:t>
            </w:r>
          </w:p>
        </w:tc>
        <w:tc>
          <w:tcPr>
            <w:tcW w:type="dxa" w:w="2030"/>
            <w:vAlign w:val="center"/>
          </w:tcPr>
          <w:p>
            <w:r/>
            <w:r>
              <w:rPr>
                <w:b w:val="0"/>
                <w:sz w:val="17"/>
              </w:rPr>
              <w:t>18</w:t>
            </w:r>
          </w:p>
        </w:tc>
        <w:tc>
          <w:tcPr>
            <w:tcW w:type="dxa" w:w="2030"/>
            <w:vAlign w:val="center"/>
          </w:tcPr>
          <w:p>
            <w:r/>
            <w:r>
              <w:rPr>
                <w:b w:val="0"/>
                <w:sz w:val="17"/>
              </w:rPr>
              <w:t>ID, gender, income, education, housing, employment, occupation</w:t>
            </w:r>
          </w:p>
        </w:tc>
        <w:tc>
          <w:tcPr>
            <w:tcW w:type="dxa" w:w="2030"/>
            <w:vAlign w:val="center"/>
          </w:tcPr>
          <w:p>
            <w:r/>
            <w:r>
              <w:rPr>
                <w:b w:val="0"/>
                <w:sz w:val="17"/>
              </w:rPr>
              <w:t>Applicant/application characteristics</w:t>
            </w:r>
          </w:p>
        </w:tc>
      </w:tr>
      <w:tr>
        <w:tc>
          <w:tcPr>
            <w:tcW w:type="dxa" w:w="2030"/>
            <w:vAlign w:val="center"/>
          </w:tcPr>
          <w:p>
            <w:r/>
            <w:r>
              <w:rPr>
                <w:b w:val="0"/>
                <w:sz w:val="17"/>
              </w:rPr>
              <w:t>credit_record.csv</w:t>
            </w:r>
          </w:p>
        </w:tc>
        <w:tc>
          <w:tcPr>
            <w:tcW w:type="dxa" w:w="2030"/>
            <w:vAlign w:val="center"/>
          </w:tcPr>
          <w:p>
            <w:r/>
            <w:r>
              <w:rPr>
                <w:b w:val="0"/>
                <w:sz w:val="17"/>
              </w:rPr>
              <w:t>1,048,575</w:t>
            </w:r>
          </w:p>
        </w:tc>
        <w:tc>
          <w:tcPr>
            <w:tcW w:type="dxa" w:w="2030"/>
            <w:vAlign w:val="center"/>
          </w:tcPr>
          <w:p>
            <w:r/>
            <w:r>
              <w:rPr>
                <w:b w:val="0"/>
                <w:sz w:val="17"/>
              </w:rPr>
              <w:t>3</w:t>
            </w:r>
          </w:p>
        </w:tc>
        <w:tc>
          <w:tcPr>
            <w:tcW w:type="dxa" w:w="2030"/>
            <w:vAlign w:val="center"/>
          </w:tcPr>
          <w:p>
            <w:r/>
            <w:r>
              <w:rPr>
                <w:b w:val="0"/>
                <w:sz w:val="17"/>
              </w:rPr>
              <w:t>ID, MONTHS_BALANCE, STATUS</w:t>
            </w:r>
          </w:p>
        </w:tc>
        <w:tc>
          <w:tcPr>
            <w:tcW w:type="dxa" w:w="2030"/>
            <w:vAlign w:val="center"/>
          </w:tcPr>
          <w:p>
            <w:r/>
            <w:r>
              <w:rPr>
                <w:b w:val="0"/>
                <w:sz w:val="17"/>
              </w:rPr>
              <w:t>Monthly credit-history status</w:t>
            </w:r>
          </w:p>
        </w:tc>
      </w:tr>
    </w:tbl>
    <w:p/>
    <w:p>
      <w:pPr>
        <w:pStyle w:val="Heading2"/>
      </w:pPr>
      <w:r>
        <w:t>4.1 Application Dataset</w:t>
      </w:r>
    </w:p>
    <w:p>
      <w:r>
        <w:t>The notebook reports 438,557 records and 18 columns. OCCUPATION_TYPE is the principal missing-value field, with 304,354 non-null observations in the initial inspection. The dataset includes demographic, income, family, housing, contact and employment-related attributes.</w:t>
      </w:r>
    </w:p>
    <w:p>
      <w:pPr>
        <w:pStyle w:val="Heading2"/>
      </w:pPr>
      <w:r>
        <w:t>4.2 Credit Dataset</w:t>
      </w:r>
    </w:p>
    <w:p>
      <w:r>
        <w:t>The credit-history dataset contains 1,048,575 monthly observations across ID, MONTHS_BALANCE and STATUS. The observed STATUS distribution is:</w:t>
      </w:r>
    </w:p>
    <w:tbl>
      <w:tblPr>
        <w:tblStyle w:val="TableGrid"/>
        <w:tblW w:type="auto" w:w="0"/>
        <w:jc w:val="center"/>
        <w:tblLook w:firstColumn="1" w:firstRow="1" w:lastColumn="0" w:lastRow="0" w:noHBand="0" w:noVBand="1" w:val="04A0"/>
      </w:tblPr>
      <w:tblGrid>
        <w:gridCol w:w="3384"/>
        <w:gridCol w:w="3384"/>
        <w:gridCol w:w="3384"/>
      </w:tblGrid>
      <w:tr>
        <w:trPr>
          <w:tblHeader w:val="true"/>
        </w:trPr>
        <w:tc>
          <w:tcPr>
            <w:tcW w:type="dxa" w:w="3384"/>
            <w:vAlign w:val="center"/>
            <w:shd w:fill="17365D"/>
          </w:tcPr>
          <w:p>
            <w:r/>
            <w:r>
              <w:rPr>
                <w:b/>
                <w:color w:val="FFFFFF"/>
                <w:sz w:val="18"/>
              </w:rPr>
              <w:t>STATUS</w:t>
            </w:r>
          </w:p>
        </w:tc>
        <w:tc>
          <w:tcPr>
            <w:tcW w:type="dxa" w:w="3384"/>
            <w:vAlign w:val="center"/>
            <w:shd w:fill="17365D"/>
          </w:tcPr>
          <w:p>
            <w:r/>
            <w:r>
              <w:rPr>
                <w:b/>
                <w:color w:val="FFFFFF"/>
                <w:sz w:val="18"/>
              </w:rPr>
              <w:t>Count</w:t>
            </w:r>
          </w:p>
        </w:tc>
        <w:tc>
          <w:tcPr>
            <w:tcW w:type="dxa" w:w="3384"/>
            <w:vAlign w:val="center"/>
            <w:shd w:fill="17365D"/>
          </w:tcPr>
          <w:p>
            <w:r/>
            <w:r>
              <w:rPr>
                <w:b/>
                <w:color w:val="FFFFFF"/>
                <w:sz w:val="18"/>
              </w:rPr>
              <w:t>Interpretation used in project</w:t>
            </w:r>
          </w:p>
        </w:tc>
      </w:tr>
      <w:tr>
        <w:tc>
          <w:tcPr>
            <w:tcW w:type="dxa" w:w="3384"/>
            <w:vAlign w:val="center"/>
          </w:tcPr>
          <w:p>
            <w:r/>
            <w:r>
              <w:rPr>
                <w:b w:val="0"/>
                <w:sz w:val="17"/>
              </w:rPr>
              <w:t>C</w:t>
            </w:r>
          </w:p>
        </w:tc>
        <w:tc>
          <w:tcPr>
            <w:tcW w:type="dxa" w:w="3384"/>
            <w:vAlign w:val="center"/>
          </w:tcPr>
          <w:p>
            <w:r/>
            <w:r>
              <w:rPr>
                <w:b w:val="0"/>
                <w:sz w:val="17"/>
              </w:rPr>
              <w:t>329,536</w:t>
            </w:r>
          </w:p>
        </w:tc>
        <w:tc>
          <w:tcPr>
            <w:tcW w:type="dxa" w:w="3384"/>
            <w:vAlign w:val="center"/>
          </w:tcPr>
          <w:p>
            <w:r/>
            <w:r>
              <w:rPr>
                <w:b w:val="0"/>
                <w:sz w:val="17"/>
              </w:rPr>
              <w:t>Closed / current-type status retained as good</w:t>
            </w:r>
          </w:p>
        </w:tc>
      </w:tr>
      <w:tr>
        <w:tc>
          <w:tcPr>
            <w:tcW w:type="dxa" w:w="3384"/>
            <w:vAlign w:val="center"/>
          </w:tcPr>
          <w:p>
            <w:r/>
            <w:r>
              <w:rPr>
                <w:b w:val="0"/>
                <w:sz w:val="17"/>
              </w:rPr>
              <w:t>0</w:t>
            </w:r>
          </w:p>
        </w:tc>
        <w:tc>
          <w:tcPr>
            <w:tcW w:type="dxa" w:w="3384"/>
            <w:vAlign w:val="center"/>
          </w:tcPr>
          <w:p>
            <w:r/>
            <w:r>
              <w:rPr>
                <w:b w:val="0"/>
                <w:sz w:val="17"/>
              </w:rPr>
              <w:t>290,654</w:t>
            </w:r>
          </w:p>
        </w:tc>
        <w:tc>
          <w:tcPr>
            <w:tcW w:type="dxa" w:w="3384"/>
            <w:vAlign w:val="center"/>
          </w:tcPr>
          <w:p>
            <w:r/>
            <w:r>
              <w:rPr>
                <w:b w:val="0"/>
                <w:sz w:val="17"/>
              </w:rPr>
              <w:t>Current / no delinquency-type status retained as good</w:t>
            </w:r>
          </w:p>
        </w:tc>
      </w:tr>
      <w:tr>
        <w:tc>
          <w:tcPr>
            <w:tcW w:type="dxa" w:w="3384"/>
            <w:vAlign w:val="center"/>
          </w:tcPr>
          <w:p>
            <w:r/>
            <w:r>
              <w:rPr>
                <w:b w:val="0"/>
                <w:sz w:val="17"/>
              </w:rPr>
              <w:t>X</w:t>
            </w:r>
          </w:p>
        </w:tc>
        <w:tc>
          <w:tcPr>
            <w:tcW w:type="dxa" w:w="3384"/>
            <w:vAlign w:val="center"/>
          </w:tcPr>
          <w:p>
            <w:r/>
            <w:r>
              <w:rPr>
                <w:b w:val="0"/>
                <w:sz w:val="17"/>
              </w:rPr>
              <w:t>145,950</w:t>
            </w:r>
          </w:p>
        </w:tc>
        <w:tc>
          <w:tcPr>
            <w:tcW w:type="dxa" w:w="3384"/>
            <w:vAlign w:val="center"/>
          </w:tcPr>
          <w:p>
            <w:r/>
            <w:r>
              <w:rPr>
                <w:b w:val="0"/>
                <w:sz w:val="17"/>
              </w:rPr>
              <w:t>No loan / no relevant delinquency status retained as good</w:t>
            </w:r>
          </w:p>
        </w:tc>
      </w:tr>
      <w:tr>
        <w:tc>
          <w:tcPr>
            <w:tcW w:type="dxa" w:w="3384"/>
            <w:vAlign w:val="center"/>
          </w:tcPr>
          <w:p>
            <w:r/>
            <w:r>
              <w:rPr>
                <w:b w:val="0"/>
                <w:sz w:val="17"/>
              </w:rPr>
              <w:t>1</w:t>
            </w:r>
          </w:p>
        </w:tc>
        <w:tc>
          <w:tcPr>
            <w:tcW w:type="dxa" w:w="3384"/>
            <w:vAlign w:val="center"/>
          </w:tcPr>
          <w:p>
            <w:r/>
            <w:r>
              <w:rPr>
                <w:b w:val="0"/>
                <w:sz w:val="17"/>
              </w:rPr>
              <w:t>8,747</w:t>
            </w:r>
          </w:p>
        </w:tc>
        <w:tc>
          <w:tcPr>
            <w:tcW w:type="dxa" w:w="3384"/>
            <w:vAlign w:val="center"/>
          </w:tcPr>
          <w:p>
            <w:r/>
            <w:r>
              <w:rPr>
                <w:b w:val="0"/>
                <w:sz w:val="17"/>
              </w:rPr>
              <w:t>1–29 days past due retained as good</w:t>
            </w:r>
          </w:p>
        </w:tc>
      </w:tr>
      <w:tr>
        <w:tc>
          <w:tcPr>
            <w:tcW w:type="dxa" w:w="3384"/>
            <w:vAlign w:val="center"/>
          </w:tcPr>
          <w:p>
            <w:r/>
            <w:r>
              <w:rPr>
                <w:b w:val="0"/>
                <w:sz w:val="17"/>
              </w:rPr>
              <w:t>5</w:t>
            </w:r>
          </w:p>
        </w:tc>
        <w:tc>
          <w:tcPr>
            <w:tcW w:type="dxa" w:w="3384"/>
            <w:vAlign w:val="center"/>
          </w:tcPr>
          <w:p>
            <w:r/>
            <w:r>
              <w:rPr>
                <w:b w:val="0"/>
                <w:sz w:val="17"/>
              </w:rPr>
              <w:t>1,527</w:t>
            </w:r>
          </w:p>
        </w:tc>
        <w:tc>
          <w:tcPr>
            <w:tcW w:type="dxa" w:w="3384"/>
            <w:vAlign w:val="center"/>
          </w:tcPr>
          <w:p>
            <w:r/>
            <w:r>
              <w:rPr>
                <w:b w:val="0"/>
                <w:sz w:val="17"/>
              </w:rPr>
              <w:t>Severe delinquency; classified as bad</w:t>
            </w:r>
          </w:p>
        </w:tc>
      </w:tr>
      <w:tr>
        <w:tc>
          <w:tcPr>
            <w:tcW w:type="dxa" w:w="3384"/>
            <w:vAlign w:val="center"/>
          </w:tcPr>
          <w:p>
            <w:r/>
            <w:r>
              <w:rPr>
                <w:b w:val="0"/>
                <w:sz w:val="17"/>
              </w:rPr>
              <w:t>2</w:t>
            </w:r>
          </w:p>
        </w:tc>
        <w:tc>
          <w:tcPr>
            <w:tcW w:type="dxa" w:w="3384"/>
            <w:vAlign w:val="center"/>
          </w:tcPr>
          <w:p>
            <w:r/>
            <w:r>
              <w:rPr>
                <w:b w:val="0"/>
                <w:sz w:val="17"/>
              </w:rPr>
              <w:t>801</w:t>
            </w:r>
          </w:p>
        </w:tc>
        <w:tc>
          <w:tcPr>
            <w:tcW w:type="dxa" w:w="3384"/>
            <w:vAlign w:val="center"/>
          </w:tcPr>
          <w:p>
            <w:r/>
            <w:r>
              <w:rPr>
                <w:b w:val="0"/>
                <w:sz w:val="17"/>
              </w:rPr>
              <w:t>30–59 days past due; classified as bad</w:t>
            </w:r>
          </w:p>
        </w:tc>
      </w:tr>
      <w:tr>
        <w:tc>
          <w:tcPr>
            <w:tcW w:type="dxa" w:w="3384"/>
            <w:vAlign w:val="center"/>
          </w:tcPr>
          <w:p>
            <w:r/>
            <w:r>
              <w:rPr>
                <w:b w:val="0"/>
                <w:sz w:val="17"/>
              </w:rPr>
              <w:t>3</w:t>
            </w:r>
          </w:p>
        </w:tc>
        <w:tc>
          <w:tcPr>
            <w:tcW w:type="dxa" w:w="3384"/>
            <w:vAlign w:val="center"/>
          </w:tcPr>
          <w:p>
            <w:r/>
            <w:r>
              <w:rPr>
                <w:b w:val="0"/>
                <w:sz w:val="17"/>
              </w:rPr>
              <w:t>286</w:t>
            </w:r>
          </w:p>
        </w:tc>
        <w:tc>
          <w:tcPr>
            <w:tcW w:type="dxa" w:w="3384"/>
            <w:vAlign w:val="center"/>
          </w:tcPr>
          <w:p>
            <w:r/>
            <w:r>
              <w:rPr>
                <w:b w:val="0"/>
                <w:sz w:val="17"/>
              </w:rPr>
              <w:t>60–89 days past due; classified as bad</w:t>
            </w:r>
          </w:p>
        </w:tc>
      </w:tr>
      <w:tr>
        <w:tc>
          <w:tcPr>
            <w:tcW w:type="dxa" w:w="3384"/>
            <w:vAlign w:val="center"/>
          </w:tcPr>
          <w:p>
            <w:r/>
            <w:r>
              <w:rPr>
                <w:b w:val="0"/>
                <w:sz w:val="17"/>
              </w:rPr>
              <w:t>4</w:t>
            </w:r>
          </w:p>
        </w:tc>
        <w:tc>
          <w:tcPr>
            <w:tcW w:type="dxa" w:w="3384"/>
            <w:vAlign w:val="center"/>
          </w:tcPr>
          <w:p>
            <w:r/>
            <w:r>
              <w:rPr>
                <w:b w:val="0"/>
                <w:sz w:val="17"/>
              </w:rPr>
              <w:t>214</w:t>
            </w:r>
          </w:p>
        </w:tc>
        <w:tc>
          <w:tcPr>
            <w:tcW w:type="dxa" w:w="3384"/>
            <w:vAlign w:val="center"/>
          </w:tcPr>
          <w:p>
            <w:r/>
            <w:r>
              <w:rPr>
                <w:b w:val="0"/>
                <w:sz w:val="17"/>
              </w:rPr>
              <w:t>90–149 days past due; classified as bad</w:t>
            </w:r>
          </w:p>
        </w:tc>
      </w:tr>
    </w:tbl>
    <w:p/>
    <w:p>
      <w:pPr>
        <w:pStyle w:val="Heading1"/>
      </w:pPr>
      <w:r>
        <w:t>5. Data Quality, Cleaning &amp; Preparation</w:t>
      </w:r>
    </w:p>
    <w:p>
      <w:pPr>
        <w:pStyle w:val="Heading2"/>
      </w:pPr>
      <w:r>
        <w:t>5.1 Duplicate Identifier Handling</w:t>
      </w:r>
    </w:p>
    <w:p>
      <w:r>
        <w:t>The initial duplicate check reports 47 duplicate IDs in the application data and 1,002,590 duplicate IDs in the monthly credit-history table. The latter is expected structurally because the credit file contains multiple monthly observations per applicant; therefore, monthly ID duplication is not itself evidence of duplicate applicant records.</w:t>
      </w:r>
    </w:p>
    <w:p>
      <w:r>
        <w:t>For the application dataset, the notebook assumes each ID represents a unique individual and retains the first occurrence. This reduces the application table to 438,510 unique IDs. An inner merge with credit history produces a merged dataset of 777,715 rows.</w:t>
      </w:r>
    </w:p>
    <w:tbl>
      <w:tblPr>
        <w:tblStyle w:val="TableGrid"/>
        <w:tblW w:type="auto" w:w="0"/>
        <w:tblLook w:firstColumn="1" w:firstRow="1" w:lastColumn="0" w:lastRow="0" w:noHBand="0" w:noVBand="1" w:val="04A0"/>
      </w:tblPr>
      <w:tblGrid>
        <w:gridCol w:w="10152"/>
      </w:tblGrid>
      <w:tr>
        <w:tc>
          <w:tcPr>
            <w:tcW w:type="dxa" w:w="10152"/>
            <w:shd w:fill="F2F2F2"/>
          </w:tcPr>
          <w:p>
            <w:r>
              <w:rPr>
                <w:b/>
                <w:color w:val="17365D"/>
              </w:rPr>
              <w:t>Data-modeling distinction</w:t>
            </w:r>
            <w:r>
              <w:br/>
              <w:t>The credit-history table is inherently one-to-many with respect to applicant ID. The project therefore later aggregates monthly credit status into one applicant-level target before the scoring model is trained.</w:t>
            </w:r>
          </w:p>
        </w:tc>
      </w:tr>
    </w:tbl>
    <w:p/>
    <w:p>
      <w:pPr>
        <w:pStyle w:val="Heading2"/>
      </w:pPr>
      <w:r>
        <w:t>5.2 Date/Duration Transformation</w:t>
      </w:r>
    </w:p>
    <w:p>
      <w:r>
        <w:t>DAYS_BIRTH and DAYS_EMPLOYED are stored as negative day counts. The exploratory workflow converts them into positive AGE_YEARS and YEARS_EMPLOYED to improve interpretability.</w:t>
      </w:r>
    </w:p>
    <w:p>
      <w:pPr>
        <w:pStyle w:val="Heading2"/>
      </w:pPr>
      <w:r>
        <w:t>5.3 Missing-Value Treatment</w:t>
      </w:r>
    </w:p>
    <w:p>
      <w:r>
        <w:t>OCCUPATION_TYPE missing values are replaced with the category 'Unknown', retaining records rather than deleting them. The notebook confirms zero remaining nulls in this field after the transformation.</w:t>
      </w:r>
    </w:p>
    <w:p>
      <w:pPr>
        <w:pStyle w:val="Heading2"/>
      </w:pPr>
      <w:r>
        <w:t>5.4 Scoring-Specific Feature Engineering</w:t>
      </w:r>
    </w:p>
    <w:tbl>
      <w:tblPr>
        <w:tblStyle w:val="TableGrid"/>
        <w:tblW w:type="auto" w:w="0"/>
        <w:jc w:val="center"/>
        <w:tblLook w:firstColumn="1" w:firstRow="1" w:lastColumn="0" w:lastRow="0" w:noHBand="0" w:noVBand="1" w:val="04A0"/>
      </w:tblPr>
      <w:tblGrid>
        <w:gridCol w:w="3384"/>
        <w:gridCol w:w="3384"/>
        <w:gridCol w:w="3384"/>
      </w:tblGrid>
      <w:tr>
        <w:trPr>
          <w:tblHeader w:val="true"/>
        </w:trPr>
        <w:tc>
          <w:tcPr>
            <w:tcW w:type="dxa" w:w="3384"/>
            <w:vAlign w:val="center"/>
            <w:shd w:fill="17365D"/>
          </w:tcPr>
          <w:p>
            <w:r/>
            <w:r>
              <w:rPr>
                <w:b/>
                <w:color w:val="FFFFFF"/>
                <w:sz w:val="18"/>
              </w:rPr>
              <w:t>Feature</w:t>
            </w:r>
          </w:p>
        </w:tc>
        <w:tc>
          <w:tcPr>
            <w:tcW w:type="dxa" w:w="3384"/>
            <w:vAlign w:val="center"/>
            <w:shd w:fill="17365D"/>
          </w:tcPr>
          <w:p>
            <w:r/>
            <w:r>
              <w:rPr>
                <w:b/>
                <w:color w:val="FFFFFF"/>
                <w:sz w:val="18"/>
              </w:rPr>
              <w:t>Transformation</w:t>
            </w:r>
          </w:p>
        </w:tc>
        <w:tc>
          <w:tcPr>
            <w:tcW w:type="dxa" w:w="3384"/>
            <w:vAlign w:val="center"/>
            <w:shd w:fill="17365D"/>
          </w:tcPr>
          <w:p>
            <w:r/>
            <w:r>
              <w:rPr>
                <w:b/>
                <w:color w:val="FFFFFF"/>
                <w:sz w:val="18"/>
              </w:rPr>
              <w:t>Purpose</w:t>
            </w:r>
          </w:p>
        </w:tc>
      </w:tr>
      <w:tr>
        <w:tc>
          <w:tcPr>
            <w:tcW w:type="dxa" w:w="3384"/>
            <w:vAlign w:val="center"/>
          </w:tcPr>
          <w:p>
            <w:r/>
            <w:r>
              <w:rPr>
                <w:b w:val="0"/>
                <w:sz w:val="17"/>
              </w:rPr>
              <w:t>CODE_GENDER</w:t>
            </w:r>
          </w:p>
        </w:tc>
        <w:tc>
          <w:tcPr>
            <w:tcW w:type="dxa" w:w="3384"/>
            <w:vAlign w:val="center"/>
          </w:tcPr>
          <w:p>
            <w:r/>
            <w:r>
              <w:rPr>
                <w:b w:val="0"/>
                <w:sz w:val="17"/>
              </w:rPr>
              <w:t>M/F → 1/0</w:t>
            </w:r>
          </w:p>
        </w:tc>
        <w:tc>
          <w:tcPr>
            <w:tcW w:type="dxa" w:w="3384"/>
            <w:vAlign w:val="center"/>
          </w:tcPr>
          <w:p>
            <w:r/>
            <w:r>
              <w:rPr>
                <w:b w:val="0"/>
                <w:sz w:val="17"/>
              </w:rPr>
              <w:t>Numeric representation</w:t>
            </w:r>
          </w:p>
        </w:tc>
      </w:tr>
      <w:tr>
        <w:tc>
          <w:tcPr>
            <w:tcW w:type="dxa" w:w="3384"/>
            <w:vAlign w:val="center"/>
          </w:tcPr>
          <w:p>
            <w:r/>
            <w:r>
              <w:rPr>
                <w:b w:val="0"/>
                <w:sz w:val="17"/>
              </w:rPr>
              <w:t>FLAG_OWN_CAR</w:t>
            </w:r>
          </w:p>
        </w:tc>
        <w:tc>
          <w:tcPr>
            <w:tcW w:type="dxa" w:w="3384"/>
            <w:vAlign w:val="center"/>
          </w:tcPr>
          <w:p>
            <w:r/>
            <w:r>
              <w:rPr>
                <w:b w:val="0"/>
                <w:sz w:val="17"/>
              </w:rPr>
              <w:t>Y/N → 1/0</w:t>
            </w:r>
          </w:p>
        </w:tc>
        <w:tc>
          <w:tcPr>
            <w:tcW w:type="dxa" w:w="3384"/>
            <w:vAlign w:val="center"/>
          </w:tcPr>
          <w:p>
            <w:r/>
            <w:r>
              <w:rPr>
                <w:b w:val="0"/>
                <w:sz w:val="17"/>
              </w:rPr>
              <w:t>Numeric representation</w:t>
            </w:r>
          </w:p>
        </w:tc>
      </w:tr>
      <w:tr>
        <w:tc>
          <w:tcPr>
            <w:tcW w:type="dxa" w:w="3384"/>
            <w:vAlign w:val="center"/>
          </w:tcPr>
          <w:p>
            <w:r/>
            <w:r>
              <w:rPr>
                <w:b w:val="0"/>
                <w:sz w:val="17"/>
              </w:rPr>
              <w:t>FLAG_OWN_REALTY</w:t>
            </w:r>
          </w:p>
        </w:tc>
        <w:tc>
          <w:tcPr>
            <w:tcW w:type="dxa" w:w="3384"/>
            <w:vAlign w:val="center"/>
          </w:tcPr>
          <w:p>
            <w:r/>
            <w:r>
              <w:rPr>
                <w:b w:val="0"/>
                <w:sz w:val="17"/>
              </w:rPr>
              <w:t>Y/N → 1/0</w:t>
            </w:r>
          </w:p>
        </w:tc>
        <w:tc>
          <w:tcPr>
            <w:tcW w:type="dxa" w:w="3384"/>
            <w:vAlign w:val="center"/>
          </w:tcPr>
          <w:p>
            <w:r/>
            <w:r>
              <w:rPr>
                <w:b w:val="0"/>
                <w:sz w:val="17"/>
              </w:rPr>
              <w:t>Numeric representation</w:t>
            </w:r>
          </w:p>
        </w:tc>
      </w:tr>
      <w:tr>
        <w:tc>
          <w:tcPr>
            <w:tcW w:type="dxa" w:w="3384"/>
            <w:vAlign w:val="center"/>
          </w:tcPr>
          <w:p>
            <w:r/>
            <w:r>
              <w:rPr>
                <w:b w:val="0"/>
                <w:sz w:val="17"/>
              </w:rPr>
              <w:t>AGE_YEARS</w:t>
            </w:r>
          </w:p>
        </w:tc>
        <w:tc>
          <w:tcPr>
            <w:tcW w:type="dxa" w:w="3384"/>
            <w:vAlign w:val="center"/>
          </w:tcPr>
          <w:p>
            <w:r/>
            <w:r>
              <w:rPr>
                <w:b w:val="0"/>
                <w:sz w:val="17"/>
              </w:rPr>
              <w:t>abs(DAYS_BIRTH) / 365.25</w:t>
            </w:r>
          </w:p>
        </w:tc>
        <w:tc>
          <w:tcPr>
            <w:tcW w:type="dxa" w:w="3384"/>
            <w:vAlign w:val="center"/>
          </w:tcPr>
          <w:p>
            <w:r/>
            <w:r>
              <w:rPr>
                <w:b w:val="0"/>
                <w:sz w:val="17"/>
              </w:rPr>
              <w:t>Interpretable age</w:t>
            </w:r>
          </w:p>
        </w:tc>
      </w:tr>
      <w:tr>
        <w:tc>
          <w:tcPr>
            <w:tcW w:type="dxa" w:w="3384"/>
            <w:vAlign w:val="center"/>
          </w:tcPr>
          <w:p>
            <w:r/>
            <w:r>
              <w:rPr>
                <w:b w:val="0"/>
                <w:sz w:val="17"/>
              </w:rPr>
              <w:t>IS_UNEMPLOYED</w:t>
            </w:r>
          </w:p>
        </w:tc>
        <w:tc>
          <w:tcPr>
            <w:tcW w:type="dxa" w:w="3384"/>
            <w:vAlign w:val="center"/>
          </w:tcPr>
          <w:p>
            <w:r/>
            <w:r>
              <w:rPr>
                <w:b w:val="0"/>
                <w:sz w:val="17"/>
              </w:rPr>
              <w:t>DAYS_EMPLOYED &gt; 0</w:t>
            </w:r>
          </w:p>
        </w:tc>
        <w:tc>
          <w:tcPr>
            <w:tcW w:type="dxa" w:w="3384"/>
            <w:vAlign w:val="center"/>
          </w:tcPr>
          <w:p>
            <w:r/>
            <w:r>
              <w:rPr>
                <w:b w:val="0"/>
                <w:sz w:val="17"/>
              </w:rPr>
              <w:t>Explicit anomaly/unemployment indicator</w:t>
            </w:r>
          </w:p>
        </w:tc>
      </w:tr>
      <w:tr>
        <w:tc>
          <w:tcPr>
            <w:tcW w:type="dxa" w:w="3384"/>
            <w:vAlign w:val="center"/>
          </w:tcPr>
          <w:p>
            <w:r/>
            <w:r>
              <w:rPr>
                <w:b w:val="0"/>
                <w:sz w:val="17"/>
              </w:rPr>
              <w:t>YEARS_EMPLOYED</w:t>
            </w:r>
          </w:p>
        </w:tc>
        <w:tc>
          <w:tcPr>
            <w:tcW w:type="dxa" w:w="3384"/>
            <w:vAlign w:val="center"/>
          </w:tcPr>
          <w:p>
            <w:r/>
            <w:r>
              <w:rPr>
                <w:b w:val="0"/>
                <w:sz w:val="17"/>
              </w:rPr>
              <w:t>abs(DAYS_EMPLOYED) / 365.25 when valid</w:t>
            </w:r>
          </w:p>
        </w:tc>
        <w:tc>
          <w:tcPr>
            <w:tcW w:type="dxa" w:w="3384"/>
            <w:vAlign w:val="center"/>
          </w:tcPr>
          <w:p>
            <w:r/>
            <w:r>
              <w:rPr>
                <w:b w:val="0"/>
                <w:sz w:val="17"/>
              </w:rPr>
              <w:t>Employment duration</w:t>
            </w:r>
          </w:p>
        </w:tc>
      </w:tr>
      <w:tr>
        <w:tc>
          <w:tcPr>
            <w:tcW w:type="dxa" w:w="3384"/>
            <w:vAlign w:val="center"/>
          </w:tcPr>
          <w:p>
            <w:r/>
            <w:r>
              <w:rPr>
                <w:b w:val="0"/>
                <w:sz w:val="17"/>
              </w:rPr>
              <w:t>TRANSFORMED_INCOME</w:t>
            </w:r>
          </w:p>
        </w:tc>
        <w:tc>
          <w:tcPr>
            <w:tcW w:type="dxa" w:w="3384"/>
            <w:vAlign w:val="center"/>
          </w:tcPr>
          <w:p>
            <w:r/>
            <w:r>
              <w:rPr>
                <w:b w:val="0"/>
                <w:sz w:val="17"/>
              </w:rPr>
              <w:t>log1p(AMT_INCOME_TOTAL)</w:t>
            </w:r>
          </w:p>
        </w:tc>
        <w:tc>
          <w:tcPr>
            <w:tcW w:type="dxa" w:w="3384"/>
            <w:vAlign w:val="center"/>
          </w:tcPr>
          <w:p>
            <w:r/>
            <w:r>
              <w:rPr>
                <w:b w:val="0"/>
                <w:sz w:val="17"/>
              </w:rPr>
              <w:t>Reduce income skew</w:t>
            </w:r>
          </w:p>
        </w:tc>
      </w:tr>
      <w:tr>
        <w:tc>
          <w:tcPr>
            <w:tcW w:type="dxa" w:w="3384"/>
            <w:vAlign w:val="center"/>
          </w:tcPr>
          <w:p>
            <w:r/>
            <w:r>
              <w:rPr>
                <w:b w:val="0"/>
                <w:sz w:val="17"/>
              </w:rPr>
              <w:t>INCOME_PER_CAPITA</w:t>
            </w:r>
          </w:p>
        </w:tc>
        <w:tc>
          <w:tcPr>
            <w:tcW w:type="dxa" w:w="3384"/>
            <w:vAlign w:val="center"/>
          </w:tcPr>
          <w:p>
            <w:r/>
            <w:r>
              <w:rPr>
                <w:b w:val="0"/>
                <w:sz w:val="17"/>
              </w:rPr>
              <w:t>AMT_INCOME_TOTAL / CNT_FAM_MEMBERS</w:t>
            </w:r>
          </w:p>
        </w:tc>
        <w:tc>
          <w:tcPr>
            <w:tcW w:type="dxa" w:w="3384"/>
            <w:vAlign w:val="center"/>
          </w:tcPr>
          <w:p>
            <w:r/>
            <w:r>
              <w:rPr>
                <w:b w:val="0"/>
                <w:sz w:val="17"/>
              </w:rPr>
              <w:t>Household income normalization</w:t>
            </w:r>
          </w:p>
        </w:tc>
      </w:tr>
      <w:tr>
        <w:tc>
          <w:tcPr>
            <w:tcW w:type="dxa" w:w="3384"/>
            <w:vAlign w:val="center"/>
          </w:tcPr>
          <w:p>
            <w:r/>
            <w:r>
              <w:rPr>
                <w:b w:val="0"/>
                <w:sz w:val="17"/>
              </w:rPr>
              <w:t>TRANSFORMED_INCOME_PER_CAPITA</w:t>
            </w:r>
          </w:p>
        </w:tc>
        <w:tc>
          <w:tcPr>
            <w:tcW w:type="dxa" w:w="3384"/>
            <w:vAlign w:val="center"/>
          </w:tcPr>
          <w:p>
            <w:r/>
            <w:r>
              <w:rPr>
                <w:b w:val="0"/>
                <w:sz w:val="17"/>
              </w:rPr>
              <w:t>log1p(INCOME_PER_CAPITA)</w:t>
            </w:r>
          </w:p>
        </w:tc>
        <w:tc>
          <w:tcPr>
            <w:tcW w:type="dxa" w:w="3384"/>
            <w:vAlign w:val="center"/>
          </w:tcPr>
          <w:p>
            <w:r/>
            <w:r>
              <w:rPr>
                <w:b w:val="0"/>
                <w:sz w:val="17"/>
              </w:rPr>
              <w:t>Reduce skew of derived income</w:t>
            </w:r>
          </w:p>
        </w:tc>
      </w:tr>
      <w:tr>
        <w:tc>
          <w:tcPr>
            <w:tcW w:type="dxa" w:w="3384"/>
            <w:vAlign w:val="center"/>
          </w:tcPr>
          <w:p>
            <w:r/>
            <w:r>
              <w:rPr>
                <w:b w:val="0"/>
                <w:sz w:val="17"/>
              </w:rPr>
              <w:t>OCCUPATION_TYPE</w:t>
            </w:r>
          </w:p>
        </w:tc>
        <w:tc>
          <w:tcPr>
            <w:tcW w:type="dxa" w:w="3384"/>
            <w:vAlign w:val="center"/>
          </w:tcPr>
          <w:p>
            <w:r/>
            <w:r>
              <w:rPr>
                <w:b w:val="0"/>
                <w:sz w:val="17"/>
              </w:rPr>
              <w:t>Missing → Unknown</w:t>
            </w:r>
          </w:p>
        </w:tc>
        <w:tc>
          <w:tcPr>
            <w:tcW w:type="dxa" w:w="3384"/>
            <w:vAlign w:val="center"/>
          </w:tcPr>
          <w:p>
            <w:r/>
            <w:r>
              <w:rPr>
                <w:b w:val="0"/>
                <w:sz w:val="17"/>
              </w:rPr>
              <w:t>Retain records</w:t>
            </w:r>
          </w:p>
        </w:tc>
      </w:tr>
    </w:tbl>
    <w:p/>
    <w:p>
      <w:pPr>
        <w:pStyle w:val="Heading1"/>
      </w:pPr>
      <w:r>
        <w:t>6. Target Variable Definition</w:t>
      </w:r>
    </w:p>
    <w:p>
      <w:r>
        <w:t>The project creates IS_BAD_CLIENT at applicant level. Each monthly STATUS is first converted into a temporary binary indicator: STATUS 2, 3, 4 or 5 maps to 1; all other statuses map to 0. The applicant-level target is then the maximum across all monthly records for that ID. Consequently, an applicant is labeled bad if they have ever reached status 2–5.</w:t>
      </w:r>
    </w:p>
    <w:tbl>
      <w:tblPr>
        <w:tblStyle w:val="TableGrid"/>
        <w:tblW w:type="auto" w:w="0"/>
        <w:jc w:val="center"/>
        <w:tblLook w:firstColumn="1" w:firstRow="1" w:lastColumn="0" w:lastRow="0" w:noHBand="0" w:noVBand="1" w:val="04A0"/>
      </w:tblPr>
      <w:tblGrid>
        <w:gridCol w:w="3384"/>
        <w:gridCol w:w="3384"/>
        <w:gridCol w:w="3384"/>
      </w:tblGrid>
      <w:tr>
        <w:trPr>
          <w:tblHeader w:val="true"/>
        </w:trPr>
        <w:tc>
          <w:tcPr>
            <w:tcW w:type="dxa" w:w="3384"/>
            <w:vAlign w:val="center"/>
            <w:shd w:fill="17365D"/>
          </w:tcPr>
          <w:p>
            <w:r/>
            <w:r>
              <w:rPr>
                <w:b/>
                <w:color w:val="FFFFFF"/>
                <w:sz w:val="18"/>
              </w:rPr>
              <w:t>Target</w:t>
            </w:r>
          </w:p>
        </w:tc>
        <w:tc>
          <w:tcPr>
            <w:tcW w:type="dxa" w:w="3384"/>
            <w:vAlign w:val="center"/>
            <w:shd w:fill="17365D"/>
          </w:tcPr>
          <w:p>
            <w:r/>
            <w:r>
              <w:rPr>
                <w:b/>
                <w:color w:val="FFFFFF"/>
                <w:sz w:val="18"/>
              </w:rPr>
              <w:t>Count</w:t>
            </w:r>
          </w:p>
        </w:tc>
        <w:tc>
          <w:tcPr>
            <w:tcW w:type="dxa" w:w="3384"/>
            <w:vAlign w:val="center"/>
            <w:shd w:fill="17365D"/>
          </w:tcPr>
          <w:p>
            <w:r/>
            <w:r>
              <w:rPr>
                <w:b/>
                <w:color w:val="FFFFFF"/>
                <w:sz w:val="18"/>
              </w:rPr>
              <w:t>Share of merged records</w:t>
            </w:r>
          </w:p>
        </w:tc>
      </w:tr>
      <w:tr>
        <w:tc>
          <w:tcPr>
            <w:tcW w:type="dxa" w:w="3384"/>
            <w:vAlign w:val="center"/>
          </w:tcPr>
          <w:p>
            <w:r/>
            <w:r>
              <w:rPr>
                <w:b w:val="0"/>
                <w:sz w:val="17"/>
              </w:rPr>
              <w:t>Good client (0)</w:t>
            </w:r>
          </w:p>
        </w:tc>
        <w:tc>
          <w:tcPr>
            <w:tcW w:type="dxa" w:w="3384"/>
            <w:vAlign w:val="center"/>
          </w:tcPr>
          <w:p>
            <w:r/>
            <w:r>
              <w:rPr>
                <w:b w:val="0"/>
                <w:sz w:val="17"/>
              </w:rPr>
              <w:t>774,887</w:t>
            </w:r>
          </w:p>
        </w:tc>
        <w:tc>
          <w:tcPr>
            <w:tcW w:type="dxa" w:w="3384"/>
            <w:vAlign w:val="center"/>
          </w:tcPr>
          <w:p>
            <w:r/>
            <w:r>
              <w:rPr>
                <w:b w:val="0"/>
                <w:sz w:val="17"/>
              </w:rPr>
              <w:t>~99.64%</w:t>
            </w:r>
          </w:p>
        </w:tc>
      </w:tr>
      <w:tr>
        <w:tc>
          <w:tcPr>
            <w:tcW w:type="dxa" w:w="3384"/>
            <w:vAlign w:val="center"/>
          </w:tcPr>
          <w:p>
            <w:r/>
            <w:r>
              <w:rPr>
                <w:b w:val="0"/>
                <w:sz w:val="17"/>
              </w:rPr>
              <w:t>Bad client (1)</w:t>
            </w:r>
          </w:p>
        </w:tc>
        <w:tc>
          <w:tcPr>
            <w:tcW w:type="dxa" w:w="3384"/>
            <w:vAlign w:val="center"/>
          </w:tcPr>
          <w:p>
            <w:r/>
            <w:r>
              <w:rPr>
                <w:b w:val="0"/>
                <w:sz w:val="17"/>
              </w:rPr>
              <w:t>2,828</w:t>
            </w:r>
          </w:p>
        </w:tc>
        <w:tc>
          <w:tcPr>
            <w:tcW w:type="dxa" w:w="3384"/>
            <w:vAlign w:val="center"/>
          </w:tcPr>
          <w:p>
            <w:r/>
            <w:r>
              <w:rPr>
                <w:b w:val="0"/>
                <w:sz w:val="17"/>
              </w:rPr>
              <w:t>~0.36%</w:t>
            </w:r>
          </w:p>
        </w:tc>
      </w:tr>
    </w:tbl>
    <w:p/>
    <w:tbl>
      <w:tblPr>
        <w:tblStyle w:val="TableGrid"/>
        <w:tblW w:type="auto" w:w="0"/>
        <w:tblLook w:firstColumn="1" w:firstRow="1" w:lastColumn="0" w:lastRow="0" w:noHBand="0" w:noVBand="1" w:val="04A0"/>
      </w:tblPr>
      <w:tblGrid>
        <w:gridCol w:w="10152"/>
      </w:tblGrid>
      <w:tr>
        <w:tc>
          <w:tcPr>
            <w:tcW w:type="dxa" w:w="10152"/>
            <w:shd w:fill="FFF2CC"/>
          </w:tcPr>
          <w:p>
            <w:r>
              <w:rPr>
                <w:b/>
                <w:color w:val="17365D"/>
              </w:rPr>
              <w:t>Modeling implication</w:t>
            </w:r>
            <w:r>
              <w:br/>
              <w:t>The target is extremely imbalanced. The notebook uses SMOTE and class-weighted classifiers to address this, but the very low base rate remains important when interpreting precision, recall, accuracy and business approval outcomes.</w:t>
            </w:r>
          </w:p>
        </w:tc>
      </w:tr>
    </w:tbl>
    <w:p/>
    <w:p>
      <w:pPr>
        <w:pStyle w:val="Heading1"/>
      </w:pPr>
      <w:r>
        <w:t>7. Exploratory Data Analysis</w:t>
      </w:r>
    </w:p>
    <w:p>
      <w:r>
        <w:t>The notebook performs distribution analysis for numerical variables, categorical variables and credit status, followed by relationship analysis between selected applicant attributes and STATUS.</w:t>
      </w:r>
    </w:p>
    <w:p>
      <w:pPr>
        <w:pStyle w:val="Heading2"/>
      </w:pPr>
      <w:r>
        <w:t>7.1 Numerical Features</w:t>
      </w:r>
    </w:p>
    <w:p>
      <w:pPr>
        <w:pStyle w:val="ListBullet"/>
        <w:spacing w:after="60"/>
      </w:pPr>
      <w:r>
        <w:t>Age, employment duration and family-related numerical variables are inspected using histograms/boxplots.</w:t>
      </w:r>
    </w:p>
    <w:p>
      <w:pPr>
        <w:pStyle w:val="ListBullet"/>
        <w:spacing w:after="60"/>
      </w:pPr>
      <w:r>
        <w:t>Income is inspected as a continuous feature and later log-transformed for scoring.</w:t>
      </w:r>
    </w:p>
    <w:p>
      <w:pPr>
        <w:pStyle w:val="Heading2"/>
      </w:pPr>
      <w:r>
        <w:t>7.2 Categorical Features</w:t>
      </w:r>
    </w:p>
    <w:p>
      <w:pPr>
        <w:pStyle w:val="ListBullet"/>
        <w:spacing w:after="60"/>
      </w:pPr>
      <w:r>
        <w:t>Gender and other categorical applicant characteristics are visualized using count plots.</w:t>
      </w:r>
    </w:p>
    <w:p>
      <w:pPr>
        <w:pStyle w:val="ListBullet"/>
        <w:spacing w:after="60"/>
      </w:pPr>
      <w:r>
        <w:t>Categorical variables are subsequently encoded for machine learning.</w:t>
      </w:r>
    </w:p>
    <w:p>
      <w:pPr>
        <w:pStyle w:val="Heading2"/>
      </w:pPr>
      <w:r>
        <w:t>7.3 Credit Status</w:t>
      </w:r>
    </w:p>
    <w:p>
      <w:r>
        <w:t>STATUS is highly concentrated in C, 0 and X, while delinquency categories 2–5 are comparatively rare. This observed distribution is consistent with the extreme imbalance in the derived IS_BAD_CLIENT target.</w:t>
      </w:r>
    </w:p>
    <w:p>
      <w:pPr>
        <w:pStyle w:val="Heading2"/>
      </w:pPr>
      <w:r>
        <w:t>7.4 Relationship Analysis</w:t>
      </w:r>
    </w:p>
    <w:p>
      <w:r>
        <w:t>The notebook examines numerical features against STATUS using boxplots and categorical variables against STATUS using grouped distributions. These analyses provide exploratory context rather than causal conclusions.</w:t>
      </w:r>
    </w:p>
    <w:p>
      <w:pPr>
        <w:pStyle w:val="Heading1"/>
      </w:pPr>
      <w:r>
        <w:t>8. Machine Learning Methodology</w:t>
      </w:r>
    </w:p>
    <w:p>
      <w:pPr>
        <w:pStyle w:val="Heading2"/>
      </w:pPr>
      <w:r>
        <w:t>8.1 Train/Test Split</w:t>
      </w:r>
    </w:p>
    <w:p>
      <w:r>
        <w:t>For the scoring-specific modeling flow, the applicant-level dataset is split into training and test sets using an 80:20 split, random_state=42 and stratification on IS_BAD_CLIENT.</w:t>
      </w:r>
    </w:p>
    <w:p>
      <w:pPr>
        <w:pStyle w:val="Heading2"/>
      </w:pPr>
      <w:r>
        <w:t>8.2 Preprocessing Pipeline</w:t>
      </w:r>
    </w:p>
    <w:p>
      <w:r>
        <w:t>The scoring model uses a ColumnTransformer. Numerical features are standardized with StandardScaler; nominal categorical features are transformed with OneHotEncoder(handle_unknown='ignore').</w:t>
      </w:r>
    </w:p>
    <w:p>
      <w:pPr>
        <w:pStyle w:val="Heading2"/>
      </w:pPr>
      <w:r>
        <w:t>8.3 Imbalance Treatment</w:t>
      </w:r>
    </w:p>
    <w:p>
      <w:r>
        <w:t>SMOTE is applied to the training data to synthetically oversample the minority class. The notebook reports an original training shape of 622,172 records with 2,262 bad clients. After preprocessing and SMOTE, the resampled training data contains 1,239,820 observations, with 619,910 observations in each class.</w:t>
      </w:r>
    </w:p>
    <w:p>
      <w:pPr>
        <w:pStyle w:val="Heading2"/>
      </w:pPr>
      <w:r>
        <w:t>8.4 Model A — Logistic Regression</w:t>
      </w:r>
    </w:p>
    <w:tbl>
      <w:tblPr>
        <w:tblStyle w:val="TableGrid"/>
        <w:tblW w:type="auto" w:w="0"/>
        <w:jc w:val="center"/>
        <w:tblLook w:firstColumn="1" w:firstRow="1" w:lastColumn="0" w:lastRow="0" w:noHBand="0" w:noVBand="1" w:val="04A0"/>
      </w:tblPr>
      <w:tblGrid>
        <w:gridCol w:w="5076"/>
        <w:gridCol w:w="5076"/>
      </w:tblGrid>
      <w:tr>
        <w:trPr>
          <w:tblHeader w:val="true"/>
        </w:trPr>
        <w:tc>
          <w:tcPr>
            <w:tcW w:type="dxa" w:w="5076"/>
            <w:vAlign w:val="center"/>
            <w:shd w:fill="17365D"/>
          </w:tcPr>
          <w:p>
            <w:r/>
            <w:r>
              <w:rPr>
                <w:b/>
                <w:color w:val="FFFFFF"/>
                <w:sz w:val="18"/>
              </w:rPr>
              <w:t>Parameter</w:t>
            </w:r>
          </w:p>
        </w:tc>
        <w:tc>
          <w:tcPr>
            <w:tcW w:type="dxa" w:w="5076"/>
            <w:vAlign w:val="center"/>
            <w:shd w:fill="17365D"/>
          </w:tcPr>
          <w:p>
            <w:r/>
            <w:r>
              <w:rPr>
                <w:b/>
                <w:color w:val="FFFFFF"/>
                <w:sz w:val="18"/>
              </w:rPr>
              <w:t>Implemented setting</w:t>
            </w:r>
          </w:p>
        </w:tc>
      </w:tr>
      <w:tr>
        <w:tc>
          <w:tcPr>
            <w:tcW w:type="dxa" w:w="5076"/>
            <w:vAlign w:val="center"/>
          </w:tcPr>
          <w:p>
            <w:r/>
            <w:r>
              <w:rPr>
                <w:b w:val="0"/>
                <w:sz w:val="17"/>
              </w:rPr>
              <w:t>Algorithm</w:t>
            </w:r>
          </w:p>
        </w:tc>
        <w:tc>
          <w:tcPr>
            <w:tcW w:type="dxa" w:w="5076"/>
            <w:vAlign w:val="center"/>
          </w:tcPr>
          <w:p>
            <w:r/>
            <w:r>
              <w:rPr>
                <w:b w:val="0"/>
                <w:sz w:val="17"/>
              </w:rPr>
              <w:t>Logistic Regression</w:t>
            </w:r>
          </w:p>
        </w:tc>
      </w:tr>
      <w:tr>
        <w:tc>
          <w:tcPr>
            <w:tcW w:type="dxa" w:w="5076"/>
            <w:vAlign w:val="center"/>
          </w:tcPr>
          <w:p>
            <w:r/>
            <w:r>
              <w:rPr>
                <w:b w:val="0"/>
                <w:sz w:val="17"/>
              </w:rPr>
              <w:t>Solver</w:t>
            </w:r>
          </w:p>
        </w:tc>
        <w:tc>
          <w:tcPr>
            <w:tcW w:type="dxa" w:w="5076"/>
            <w:vAlign w:val="center"/>
          </w:tcPr>
          <w:p>
            <w:r/>
            <w:r>
              <w:rPr>
                <w:b w:val="0"/>
                <w:sz w:val="17"/>
              </w:rPr>
              <w:t>liblinear</w:t>
            </w:r>
          </w:p>
        </w:tc>
      </w:tr>
      <w:tr>
        <w:tc>
          <w:tcPr>
            <w:tcW w:type="dxa" w:w="5076"/>
            <w:vAlign w:val="center"/>
          </w:tcPr>
          <w:p>
            <w:r/>
            <w:r>
              <w:rPr>
                <w:b w:val="0"/>
                <w:sz w:val="17"/>
              </w:rPr>
              <w:t>max_iter</w:t>
            </w:r>
          </w:p>
        </w:tc>
        <w:tc>
          <w:tcPr>
            <w:tcW w:type="dxa" w:w="5076"/>
            <w:vAlign w:val="center"/>
          </w:tcPr>
          <w:p>
            <w:r/>
            <w:r>
              <w:rPr>
                <w:b w:val="0"/>
                <w:sz w:val="17"/>
              </w:rPr>
              <w:t>1000</w:t>
            </w:r>
          </w:p>
        </w:tc>
      </w:tr>
      <w:tr>
        <w:tc>
          <w:tcPr>
            <w:tcW w:type="dxa" w:w="5076"/>
            <w:vAlign w:val="center"/>
          </w:tcPr>
          <w:p>
            <w:r/>
            <w:r>
              <w:rPr>
                <w:b w:val="0"/>
                <w:sz w:val="17"/>
              </w:rPr>
              <w:t>Class weighting</w:t>
            </w:r>
          </w:p>
        </w:tc>
        <w:tc>
          <w:tcPr>
            <w:tcW w:type="dxa" w:w="5076"/>
            <w:vAlign w:val="center"/>
          </w:tcPr>
          <w:p>
            <w:r/>
            <w:r>
              <w:rPr>
                <w:b w:val="0"/>
                <w:sz w:val="17"/>
              </w:rPr>
              <w:t>balanced</w:t>
            </w:r>
          </w:p>
        </w:tc>
      </w:tr>
      <w:tr>
        <w:tc>
          <w:tcPr>
            <w:tcW w:type="dxa" w:w="5076"/>
            <w:vAlign w:val="center"/>
          </w:tcPr>
          <w:p>
            <w:r/>
            <w:r>
              <w:rPr>
                <w:b w:val="0"/>
                <w:sz w:val="17"/>
              </w:rPr>
              <w:t>Training approach</w:t>
            </w:r>
          </w:p>
        </w:tc>
        <w:tc>
          <w:tcPr>
            <w:tcW w:type="dxa" w:w="5076"/>
            <w:vAlign w:val="center"/>
          </w:tcPr>
          <w:p>
            <w:r/>
            <w:r>
              <w:rPr>
                <w:b w:val="0"/>
                <w:sz w:val="17"/>
              </w:rPr>
              <w:t>Preprocessing + SMOTE training data</w:t>
            </w:r>
          </w:p>
        </w:tc>
      </w:tr>
      <w:tr>
        <w:tc>
          <w:tcPr>
            <w:tcW w:type="dxa" w:w="5076"/>
            <w:vAlign w:val="center"/>
          </w:tcPr>
          <w:p>
            <w:r/>
            <w:r>
              <w:rPr>
                <w:b w:val="0"/>
                <w:sz w:val="17"/>
              </w:rPr>
              <w:t>Output used for scoring</w:t>
            </w:r>
          </w:p>
        </w:tc>
        <w:tc>
          <w:tcPr>
            <w:tcW w:type="dxa" w:w="5076"/>
            <w:vAlign w:val="center"/>
          </w:tcPr>
          <w:p>
            <w:r/>
            <w:r>
              <w:rPr>
                <w:b w:val="0"/>
                <w:sz w:val="17"/>
              </w:rPr>
              <w:t>Probability of bad-client class</w:t>
            </w:r>
          </w:p>
        </w:tc>
      </w:tr>
    </w:tbl>
    <w:p/>
    <w:p>
      <w:pPr>
        <w:pStyle w:val="Heading2"/>
      </w:pPr>
      <w:r>
        <w:t>8.5 Model B — Soft-Voting Ensemble</w:t>
      </w:r>
    </w:p>
    <w:tbl>
      <w:tblPr>
        <w:tblStyle w:val="TableGrid"/>
        <w:tblW w:type="auto" w:w="0"/>
        <w:jc w:val="center"/>
        <w:tblLook w:firstColumn="1" w:firstRow="1" w:lastColumn="0" w:lastRow="0" w:noHBand="0" w:noVBand="1" w:val="04A0"/>
      </w:tblPr>
      <w:tblGrid>
        <w:gridCol w:w="5076"/>
        <w:gridCol w:w="5076"/>
      </w:tblGrid>
      <w:tr>
        <w:trPr>
          <w:tblHeader w:val="true"/>
        </w:trPr>
        <w:tc>
          <w:tcPr>
            <w:tcW w:type="dxa" w:w="5076"/>
            <w:vAlign w:val="center"/>
            <w:shd w:fill="17365D"/>
          </w:tcPr>
          <w:p>
            <w:r/>
            <w:r>
              <w:rPr>
                <w:b/>
                <w:color w:val="FFFFFF"/>
                <w:sz w:val="18"/>
              </w:rPr>
              <w:t>Component</w:t>
            </w:r>
          </w:p>
        </w:tc>
        <w:tc>
          <w:tcPr>
            <w:tcW w:type="dxa" w:w="5076"/>
            <w:vAlign w:val="center"/>
            <w:shd w:fill="17365D"/>
          </w:tcPr>
          <w:p>
            <w:r/>
            <w:r>
              <w:rPr>
                <w:b/>
                <w:color w:val="FFFFFF"/>
                <w:sz w:val="18"/>
              </w:rPr>
              <w:t>Configuration</w:t>
            </w:r>
          </w:p>
        </w:tc>
      </w:tr>
      <w:tr>
        <w:tc>
          <w:tcPr>
            <w:tcW w:type="dxa" w:w="5076"/>
            <w:vAlign w:val="center"/>
          </w:tcPr>
          <w:p>
            <w:r/>
            <w:r>
              <w:rPr>
                <w:b w:val="0"/>
                <w:sz w:val="17"/>
              </w:rPr>
              <w:t>Random Forest</w:t>
            </w:r>
          </w:p>
        </w:tc>
        <w:tc>
          <w:tcPr>
            <w:tcW w:type="dxa" w:w="5076"/>
            <w:vAlign w:val="center"/>
          </w:tcPr>
          <w:p>
            <w:r/>
            <w:r>
              <w:rPr>
                <w:b w:val="0"/>
                <w:sz w:val="17"/>
              </w:rPr>
              <w:t>n_estimators=100, max_depth=10, random_state=42, class_weight='balanced'</w:t>
            </w:r>
          </w:p>
        </w:tc>
      </w:tr>
      <w:tr>
        <w:tc>
          <w:tcPr>
            <w:tcW w:type="dxa" w:w="5076"/>
            <w:vAlign w:val="center"/>
          </w:tcPr>
          <w:p>
            <w:r/>
            <w:r>
              <w:rPr>
                <w:b w:val="0"/>
                <w:sz w:val="17"/>
              </w:rPr>
              <w:t>Logistic Regression</w:t>
            </w:r>
          </w:p>
        </w:tc>
        <w:tc>
          <w:tcPr>
            <w:tcW w:type="dxa" w:w="5076"/>
            <w:vAlign w:val="center"/>
          </w:tcPr>
          <w:p>
            <w:r/>
            <w:r>
              <w:rPr>
                <w:b w:val="0"/>
                <w:sz w:val="17"/>
              </w:rPr>
              <w:t>max_iter=1000, solver='liblinear', random_state=42, class_weight='balanced'</w:t>
            </w:r>
          </w:p>
        </w:tc>
      </w:tr>
      <w:tr>
        <w:tc>
          <w:tcPr>
            <w:tcW w:type="dxa" w:w="5076"/>
            <w:vAlign w:val="center"/>
          </w:tcPr>
          <w:p>
            <w:r/>
            <w:r>
              <w:rPr>
                <w:b w:val="0"/>
                <w:sz w:val="17"/>
              </w:rPr>
              <w:t>Voting</w:t>
            </w:r>
          </w:p>
        </w:tc>
        <w:tc>
          <w:tcPr>
            <w:tcW w:type="dxa" w:w="5076"/>
            <w:vAlign w:val="center"/>
          </w:tcPr>
          <w:p>
            <w:r/>
            <w:r>
              <w:rPr>
                <w:b w:val="0"/>
                <w:sz w:val="17"/>
              </w:rPr>
              <w:t>Soft voting</w:t>
            </w:r>
          </w:p>
        </w:tc>
      </w:tr>
      <w:tr>
        <w:tc>
          <w:tcPr>
            <w:tcW w:type="dxa" w:w="5076"/>
            <w:vAlign w:val="center"/>
          </w:tcPr>
          <w:p>
            <w:r/>
            <w:r>
              <w:rPr>
                <w:b w:val="0"/>
                <w:sz w:val="17"/>
              </w:rPr>
              <w:t>Weights</w:t>
            </w:r>
          </w:p>
        </w:tc>
        <w:tc>
          <w:tcPr>
            <w:tcW w:type="dxa" w:w="5076"/>
            <w:vAlign w:val="center"/>
          </w:tcPr>
          <w:p>
            <w:r/>
            <w:r>
              <w:rPr>
                <w:b w:val="0"/>
                <w:sz w:val="17"/>
              </w:rPr>
              <w:t>Random Forest 0.6; Logistic Regression 0.4</w:t>
            </w:r>
          </w:p>
        </w:tc>
      </w:tr>
      <w:tr>
        <w:tc>
          <w:tcPr>
            <w:tcW w:type="dxa" w:w="5076"/>
            <w:vAlign w:val="center"/>
          </w:tcPr>
          <w:p>
            <w:r/>
            <w:r>
              <w:rPr>
                <w:b w:val="0"/>
                <w:sz w:val="17"/>
              </w:rPr>
              <w:t>Preprocessing</w:t>
            </w:r>
          </w:p>
        </w:tc>
        <w:tc>
          <w:tcPr>
            <w:tcW w:type="dxa" w:w="5076"/>
            <w:vAlign w:val="center"/>
          </w:tcPr>
          <w:p>
            <w:r/>
            <w:r>
              <w:rPr>
                <w:b w:val="0"/>
                <w:sz w:val="17"/>
              </w:rPr>
              <w:t>StandardScaler + OneHotEncoder</w:t>
            </w:r>
          </w:p>
        </w:tc>
      </w:tr>
      <w:tr>
        <w:tc>
          <w:tcPr>
            <w:tcW w:type="dxa" w:w="5076"/>
            <w:vAlign w:val="center"/>
          </w:tcPr>
          <w:p>
            <w:r/>
            <w:r>
              <w:rPr>
                <w:b w:val="0"/>
                <w:sz w:val="17"/>
              </w:rPr>
              <w:t>Output</w:t>
            </w:r>
          </w:p>
        </w:tc>
        <w:tc>
          <w:tcPr>
            <w:tcW w:type="dxa" w:w="5076"/>
            <w:vAlign w:val="center"/>
          </w:tcPr>
          <w:p>
            <w:r/>
            <w:r>
              <w:rPr>
                <w:b w:val="0"/>
                <w:sz w:val="17"/>
              </w:rPr>
              <w:t>Predicted probability of bad-client class</w:t>
            </w:r>
          </w:p>
        </w:tc>
      </w:tr>
    </w:tbl>
    <w:p/>
    <w:p>
      <w:pPr>
        <w:pStyle w:val="Heading1"/>
      </w:pPr>
      <w:r>
        <w:t>9. Model Evaluation Results</w:t>
      </w:r>
    </w:p>
    <w:p>
      <w:pPr>
        <w:pStyle w:val="Heading2"/>
      </w:pPr>
      <w:r>
        <w:t>9.1 Initial Logistic Regression</w:t>
      </w:r>
    </w:p>
    <w:tbl>
      <w:tblPr>
        <w:tblStyle w:val="TableGrid"/>
        <w:tblW w:type="auto" w:w="0"/>
        <w:jc w:val="center"/>
        <w:tblLook w:firstColumn="1" w:firstRow="1" w:lastColumn="0" w:lastRow="0" w:noHBand="0" w:noVBand="1" w:val="04A0"/>
      </w:tblPr>
      <w:tblGrid>
        <w:gridCol w:w="2538"/>
        <w:gridCol w:w="2538"/>
        <w:gridCol w:w="2538"/>
        <w:gridCol w:w="2538"/>
      </w:tblGrid>
      <w:tr>
        <w:trPr>
          <w:tblHeader w:val="true"/>
        </w:trPr>
        <w:tc>
          <w:tcPr>
            <w:tcW w:type="dxa" w:w="2538"/>
            <w:vAlign w:val="center"/>
            <w:shd w:fill="17365D"/>
          </w:tcPr>
          <w:p>
            <w:r/>
            <w:r>
              <w:rPr>
                <w:b/>
                <w:color w:val="FFFFFF"/>
                <w:sz w:val="18"/>
              </w:rPr>
              <w:t>Metric</w:t>
            </w:r>
          </w:p>
        </w:tc>
        <w:tc>
          <w:tcPr>
            <w:tcW w:type="dxa" w:w="2538"/>
            <w:vAlign w:val="center"/>
            <w:shd w:fill="17365D"/>
          </w:tcPr>
          <w:p>
            <w:r/>
            <w:r>
              <w:rPr>
                <w:b/>
                <w:color w:val="FFFFFF"/>
                <w:sz w:val="18"/>
              </w:rPr>
              <w:t>Good class (0)</w:t>
            </w:r>
          </w:p>
        </w:tc>
        <w:tc>
          <w:tcPr>
            <w:tcW w:type="dxa" w:w="2538"/>
            <w:vAlign w:val="center"/>
            <w:shd w:fill="17365D"/>
          </w:tcPr>
          <w:p>
            <w:r/>
            <w:r>
              <w:rPr>
                <w:b/>
                <w:color w:val="FFFFFF"/>
                <w:sz w:val="18"/>
              </w:rPr>
              <w:t>Bad class (1)</w:t>
            </w:r>
          </w:p>
        </w:tc>
        <w:tc>
          <w:tcPr>
            <w:tcW w:type="dxa" w:w="2538"/>
            <w:vAlign w:val="center"/>
            <w:shd w:fill="17365D"/>
          </w:tcPr>
          <w:p>
            <w:r/>
            <w:r>
              <w:rPr>
                <w:b/>
                <w:color w:val="FFFFFF"/>
                <w:sz w:val="18"/>
              </w:rPr>
              <w:t>Overall</w:t>
            </w:r>
          </w:p>
        </w:tc>
      </w:tr>
      <w:tr>
        <w:tc>
          <w:tcPr>
            <w:tcW w:type="dxa" w:w="2538"/>
            <w:vAlign w:val="center"/>
          </w:tcPr>
          <w:p>
            <w:r/>
            <w:r>
              <w:rPr>
                <w:b w:val="0"/>
                <w:sz w:val="17"/>
              </w:rPr>
              <w:t>Precision</w:t>
            </w:r>
          </w:p>
        </w:tc>
        <w:tc>
          <w:tcPr>
            <w:tcW w:type="dxa" w:w="2538"/>
            <w:vAlign w:val="center"/>
          </w:tcPr>
          <w:p>
            <w:r/>
            <w:r>
              <w:rPr>
                <w:b w:val="0"/>
                <w:sz w:val="17"/>
              </w:rPr>
              <w:t>1.00</w:t>
            </w:r>
          </w:p>
        </w:tc>
        <w:tc>
          <w:tcPr>
            <w:tcW w:type="dxa" w:w="2538"/>
            <w:vAlign w:val="center"/>
          </w:tcPr>
          <w:p>
            <w:r/>
            <w:r>
              <w:rPr>
                <w:b w:val="0"/>
                <w:sz w:val="17"/>
              </w:rPr>
              <w:t>0.01</w:t>
            </w:r>
          </w:p>
        </w:tc>
        <w:tc>
          <w:tcPr>
            <w:tcW w:type="dxa" w:w="2538"/>
            <w:vAlign w:val="center"/>
          </w:tcPr>
          <w:p>
            <w:r/>
            <w:r>
              <w:rPr>
                <w:b w:val="0"/>
                <w:sz w:val="17"/>
              </w:rPr>
              <w:t>—</w:t>
            </w:r>
          </w:p>
        </w:tc>
      </w:tr>
      <w:tr>
        <w:tc>
          <w:tcPr>
            <w:tcW w:type="dxa" w:w="2538"/>
            <w:vAlign w:val="center"/>
          </w:tcPr>
          <w:p>
            <w:r/>
            <w:r>
              <w:rPr>
                <w:b w:val="0"/>
                <w:sz w:val="17"/>
              </w:rPr>
              <w:t>Recall</w:t>
            </w:r>
          </w:p>
        </w:tc>
        <w:tc>
          <w:tcPr>
            <w:tcW w:type="dxa" w:w="2538"/>
            <w:vAlign w:val="center"/>
          </w:tcPr>
          <w:p>
            <w:r/>
            <w:r>
              <w:rPr>
                <w:b w:val="0"/>
                <w:sz w:val="17"/>
              </w:rPr>
              <w:t>0.65</w:t>
            </w:r>
          </w:p>
        </w:tc>
        <w:tc>
          <w:tcPr>
            <w:tcW w:type="dxa" w:w="2538"/>
            <w:vAlign w:val="center"/>
          </w:tcPr>
          <w:p>
            <w:r/>
            <w:r>
              <w:rPr>
                <w:b w:val="0"/>
                <w:sz w:val="17"/>
              </w:rPr>
              <w:t>0.51</w:t>
            </w:r>
          </w:p>
        </w:tc>
        <w:tc>
          <w:tcPr>
            <w:tcW w:type="dxa" w:w="2538"/>
            <w:vAlign w:val="center"/>
          </w:tcPr>
          <w:p>
            <w:r/>
            <w:r>
              <w:rPr>
                <w:b w:val="0"/>
                <w:sz w:val="17"/>
              </w:rPr>
              <w:t>—</w:t>
            </w:r>
          </w:p>
        </w:tc>
      </w:tr>
      <w:tr>
        <w:tc>
          <w:tcPr>
            <w:tcW w:type="dxa" w:w="2538"/>
            <w:vAlign w:val="center"/>
          </w:tcPr>
          <w:p>
            <w:r/>
            <w:r>
              <w:rPr>
                <w:b w:val="0"/>
                <w:sz w:val="17"/>
              </w:rPr>
              <w:t>F1-score</w:t>
            </w:r>
          </w:p>
        </w:tc>
        <w:tc>
          <w:tcPr>
            <w:tcW w:type="dxa" w:w="2538"/>
            <w:vAlign w:val="center"/>
          </w:tcPr>
          <w:p>
            <w:r/>
            <w:r>
              <w:rPr>
                <w:b w:val="0"/>
                <w:sz w:val="17"/>
              </w:rPr>
              <w:t>0.79</w:t>
            </w:r>
          </w:p>
        </w:tc>
        <w:tc>
          <w:tcPr>
            <w:tcW w:type="dxa" w:w="2538"/>
            <w:vAlign w:val="center"/>
          </w:tcPr>
          <w:p>
            <w:r/>
            <w:r>
              <w:rPr>
                <w:b w:val="0"/>
                <w:sz w:val="17"/>
              </w:rPr>
              <w:t>0.01</w:t>
            </w:r>
          </w:p>
        </w:tc>
        <w:tc>
          <w:tcPr>
            <w:tcW w:type="dxa" w:w="2538"/>
            <w:vAlign w:val="center"/>
          </w:tcPr>
          <w:p>
            <w:r/>
            <w:r>
              <w:rPr>
                <w:b w:val="0"/>
                <w:sz w:val="17"/>
              </w:rPr>
              <w:t>—</w:t>
            </w:r>
          </w:p>
        </w:tc>
      </w:tr>
      <w:tr>
        <w:tc>
          <w:tcPr>
            <w:tcW w:type="dxa" w:w="2538"/>
            <w:vAlign w:val="center"/>
          </w:tcPr>
          <w:p>
            <w:r/>
            <w:r>
              <w:rPr>
                <w:b w:val="0"/>
                <w:sz w:val="17"/>
              </w:rPr>
              <w:t>Support</w:t>
            </w:r>
          </w:p>
        </w:tc>
        <w:tc>
          <w:tcPr>
            <w:tcW w:type="dxa" w:w="2538"/>
            <w:vAlign w:val="center"/>
          </w:tcPr>
          <w:p>
            <w:r/>
            <w:r>
              <w:rPr>
                <w:b w:val="0"/>
                <w:sz w:val="17"/>
              </w:rPr>
              <w:t>154,977</w:t>
            </w:r>
          </w:p>
        </w:tc>
        <w:tc>
          <w:tcPr>
            <w:tcW w:type="dxa" w:w="2538"/>
            <w:vAlign w:val="center"/>
          </w:tcPr>
          <w:p>
            <w:r/>
            <w:r>
              <w:rPr>
                <w:b w:val="0"/>
                <w:sz w:val="17"/>
              </w:rPr>
              <w:t>566</w:t>
            </w:r>
          </w:p>
        </w:tc>
        <w:tc>
          <w:tcPr>
            <w:tcW w:type="dxa" w:w="2538"/>
            <w:vAlign w:val="center"/>
          </w:tcPr>
          <w:p>
            <w:r/>
            <w:r>
              <w:rPr>
                <w:b w:val="0"/>
                <w:sz w:val="17"/>
              </w:rPr>
              <w:t>155,543</w:t>
            </w:r>
          </w:p>
        </w:tc>
      </w:tr>
      <w:tr>
        <w:tc>
          <w:tcPr>
            <w:tcW w:type="dxa" w:w="2538"/>
            <w:vAlign w:val="center"/>
          </w:tcPr>
          <w:p>
            <w:r/>
            <w:r>
              <w:rPr>
                <w:b w:val="0"/>
                <w:sz w:val="17"/>
              </w:rPr>
              <w:t>Accuracy</w:t>
            </w:r>
          </w:p>
        </w:tc>
        <w:tc>
          <w:tcPr>
            <w:tcW w:type="dxa" w:w="2538"/>
            <w:vAlign w:val="center"/>
          </w:tcPr>
          <w:p>
            <w:r/>
            <w:r>
              <w:rPr>
                <w:b w:val="0"/>
                <w:sz w:val="17"/>
              </w:rPr>
              <w:t>—</w:t>
            </w:r>
          </w:p>
        </w:tc>
        <w:tc>
          <w:tcPr>
            <w:tcW w:type="dxa" w:w="2538"/>
            <w:vAlign w:val="center"/>
          </w:tcPr>
          <w:p>
            <w:r/>
            <w:r>
              <w:rPr>
                <w:b w:val="0"/>
                <w:sz w:val="17"/>
              </w:rPr>
              <w:t>—</w:t>
            </w:r>
          </w:p>
        </w:tc>
        <w:tc>
          <w:tcPr>
            <w:tcW w:type="dxa" w:w="2538"/>
            <w:vAlign w:val="center"/>
          </w:tcPr>
          <w:p>
            <w:r/>
            <w:r>
              <w:rPr>
                <w:b w:val="0"/>
                <w:sz w:val="17"/>
              </w:rPr>
              <w:t>0.65</w:t>
            </w:r>
          </w:p>
        </w:tc>
      </w:tr>
      <w:tr>
        <w:tc>
          <w:tcPr>
            <w:tcW w:type="dxa" w:w="2538"/>
            <w:vAlign w:val="center"/>
          </w:tcPr>
          <w:p>
            <w:r/>
            <w:r>
              <w:rPr>
                <w:b w:val="0"/>
                <w:sz w:val="17"/>
              </w:rPr>
              <w:t>ROC AUC</w:t>
            </w:r>
          </w:p>
        </w:tc>
        <w:tc>
          <w:tcPr>
            <w:tcW w:type="dxa" w:w="2538"/>
            <w:vAlign w:val="center"/>
          </w:tcPr>
          <w:p>
            <w:r/>
            <w:r>
              <w:rPr>
                <w:b w:val="0"/>
                <w:sz w:val="17"/>
              </w:rPr>
              <w:t>—</w:t>
            </w:r>
          </w:p>
        </w:tc>
        <w:tc>
          <w:tcPr>
            <w:tcW w:type="dxa" w:w="2538"/>
            <w:vAlign w:val="center"/>
          </w:tcPr>
          <w:p>
            <w:r/>
            <w:r>
              <w:rPr>
                <w:b w:val="0"/>
                <w:sz w:val="17"/>
              </w:rPr>
              <w:t>—</w:t>
            </w:r>
          </w:p>
        </w:tc>
        <w:tc>
          <w:tcPr>
            <w:tcW w:type="dxa" w:w="2538"/>
            <w:vAlign w:val="center"/>
          </w:tcPr>
          <w:p>
            <w:r/>
            <w:r>
              <w:rPr>
                <w:b w:val="0"/>
                <w:sz w:val="17"/>
              </w:rPr>
              <w:t>0.6336</w:t>
            </w:r>
          </w:p>
        </w:tc>
      </w:tr>
    </w:tbl>
    <w:p/>
    <w:p>
      <w:r>
        <w:t>The minority-class precision of 0.01 indicates that many predicted bad-client cases were not actually bad clients under the defined target. The model nevertheless identifies a portion of the minority class, with recall of 0.51.</w:t>
      </w:r>
    </w:p>
    <w:p>
      <w:pPr>
        <w:pStyle w:val="Heading2"/>
      </w:pPr>
      <w:r>
        <w:t>9.2 Ensemble Model</w:t>
      </w:r>
    </w:p>
    <w:tbl>
      <w:tblPr>
        <w:tblStyle w:val="TableGrid"/>
        <w:tblW w:type="auto" w:w="0"/>
        <w:jc w:val="center"/>
        <w:tblLook w:firstColumn="1" w:firstRow="1" w:lastColumn="0" w:lastRow="0" w:noHBand="0" w:noVBand="1" w:val="04A0"/>
      </w:tblPr>
      <w:tblGrid>
        <w:gridCol w:w="2538"/>
        <w:gridCol w:w="2538"/>
        <w:gridCol w:w="2538"/>
        <w:gridCol w:w="2538"/>
      </w:tblGrid>
      <w:tr>
        <w:trPr>
          <w:tblHeader w:val="true"/>
        </w:trPr>
        <w:tc>
          <w:tcPr>
            <w:tcW w:type="dxa" w:w="2538"/>
            <w:vAlign w:val="center"/>
            <w:shd w:fill="17365D"/>
          </w:tcPr>
          <w:p>
            <w:r/>
            <w:r>
              <w:rPr>
                <w:b/>
                <w:color w:val="FFFFFF"/>
                <w:sz w:val="18"/>
              </w:rPr>
              <w:t>Metric</w:t>
            </w:r>
          </w:p>
        </w:tc>
        <w:tc>
          <w:tcPr>
            <w:tcW w:type="dxa" w:w="2538"/>
            <w:vAlign w:val="center"/>
            <w:shd w:fill="17365D"/>
          </w:tcPr>
          <w:p>
            <w:r/>
            <w:r>
              <w:rPr>
                <w:b/>
                <w:color w:val="FFFFFF"/>
                <w:sz w:val="18"/>
              </w:rPr>
              <w:t>Good class (0)</w:t>
            </w:r>
          </w:p>
        </w:tc>
        <w:tc>
          <w:tcPr>
            <w:tcW w:type="dxa" w:w="2538"/>
            <w:vAlign w:val="center"/>
            <w:shd w:fill="17365D"/>
          </w:tcPr>
          <w:p>
            <w:r/>
            <w:r>
              <w:rPr>
                <w:b/>
                <w:color w:val="FFFFFF"/>
                <w:sz w:val="18"/>
              </w:rPr>
              <w:t>Bad class (1)</w:t>
            </w:r>
          </w:p>
        </w:tc>
        <w:tc>
          <w:tcPr>
            <w:tcW w:type="dxa" w:w="2538"/>
            <w:vAlign w:val="center"/>
            <w:shd w:fill="17365D"/>
          </w:tcPr>
          <w:p>
            <w:r/>
            <w:r>
              <w:rPr>
                <w:b/>
                <w:color w:val="FFFFFF"/>
                <w:sz w:val="18"/>
              </w:rPr>
              <w:t>Overall</w:t>
            </w:r>
          </w:p>
        </w:tc>
      </w:tr>
      <w:tr>
        <w:tc>
          <w:tcPr>
            <w:tcW w:type="dxa" w:w="2538"/>
            <w:vAlign w:val="center"/>
          </w:tcPr>
          <w:p>
            <w:r/>
            <w:r>
              <w:rPr>
                <w:b w:val="0"/>
                <w:sz w:val="17"/>
              </w:rPr>
              <w:t>Precision</w:t>
            </w:r>
          </w:p>
        </w:tc>
        <w:tc>
          <w:tcPr>
            <w:tcW w:type="dxa" w:w="2538"/>
            <w:vAlign w:val="center"/>
          </w:tcPr>
          <w:p>
            <w:r/>
            <w:r>
              <w:rPr>
                <w:b w:val="0"/>
                <w:sz w:val="17"/>
              </w:rPr>
              <w:t>0.99</w:t>
            </w:r>
          </w:p>
        </w:tc>
        <w:tc>
          <w:tcPr>
            <w:tcW w:type="dxa" w:w="2538"/>
            <w:vAlign w:val="center"/>
          </w:tcPr>
          <w:p>
            <w:r/>
            <w:r>
              <w:rPr>
                <w:b w:val="0"/>
                <w:sz w:val="17"/>
              </w:rPr>
              <w:t>0.05</w:t>
            </w:r>
          </w:p>
        </w:tc>
        <w:tc>
          <w:tcPr>
            <w:tcW w:type="dxa" w:w="2538"/>
            <w:vAlign w:val="center"/>
          </w:tcPr>
          <w:p>
            <w:r/>
            <w:r>
              <w:rPr>
                <w:b w:val="0"/>
                <w:sz w:val="17"/>
              </w:rPr>
              <w:t>—</w:t>
            </w:r>
          </w:p>
        </w:tc>
      </w:tr>
      <w:tr>
        <w:tc>
          <w:tcPr>
            <w:tcW w:type="dxa" w:w="2538"/>
            <w:vAlign w:val="center"/>
          </w:tcPr>
          <w:p>
            <w:r/>
            <w:r>
              <w:rPr>
                <w:b w:val="0"/>
                <w:sz w:val="17"/>
              </w:rPr>
              <w:t>Recall</w:t>
            </w:r>
          </w:p>
        </w:tc>
        <w:tc>
          <w:tcPr>
            <w:tcW w:type="dxa" w:w="2538"/>
            <w:vAlign w:val="center"/>
          </w:tcPr>
          <w:p>
            <w:r/>
            <w:r>
              <w:rPr>
                <w:b w:val="0"/>
                <w:sz w:val="17"/>
              </w:rPr>
              <w:t>0.90</w:t>
            </w:r>
          </w:p>
        </w:tc>
        <w:tc>
          <w:tcPr>
            <w:tcW w:type="dxa" w:w="2538"/>
            <w:vAlign w:val="center"/>
          </w:tcPr>
          <w:p>
            <w:r/>
            <w:r>
              <w:rPr>
                <w:b w:val="0"/>
                <w:sz w:val="17"/>
              </w:rPr>
              <w:t>0.33</w:t>
            </w:r>
          </w:p>
        </w:tc>
        <w:tc>
          <w:tcPr>
            <w:tcW w:type="dxa" w:w="2538"/>
            <w:vAlign w:val="center"/>
          </w:tcPr>
          <w:p>
            <w:r/>
            <w:r>
              <w:rPr>
                <w:b w:val="0"/>
                <w:sz w:val="17"/>
              </w:rPr>
              <w:t>—</w:t>
            </w:r>
          </w:p>
        </w:tc>
      </w:tr>
      <w:tr>
        <w:tc>
          <w:tcPr>
            <w:tcW w:type="dxa" w:w="2538"/>
            <w:vAlign w:val="center"/>
          </w:tcPr>
          <w:p>
            <w:r/>
            <w:r>
              <w:rPr>
                <w:b w:val="0"/>
                <w:sz w:val="17"/>
              </w:rPr>
              <w:t>F1-score</w:t>
            </w:r>
          </w:p>
        </w:tc>
        <w:tc>
          <w:tcPr>
            <w:tcW w:type="dxa" w:w="2538"/>
            <w:vAlign w:val="center"/>
          </w:tcPr>
          <w:p>
            <w:r/>
            <w:r>
              <w:rPr>
                <w:b w:val="0"/>
                <w:sz w:val="17"/>
              </w:rPr>
              <w:t>0.94</w:t>
            </w:r>
          </w:p>
        </w:tc>
        <w:tc>
          <w:tcPr>
            <w:tcW w:type="dxa" w:w="2538"/>
            <w:vAlign w:val="center"/>
          </w:tcPr>
          <w:p>
            <w:r/>
            <w:r>
              <w:rPr>
                <w:b w:val="0"/>
                <w:sz w:val="17"/>
              </w:rPr>
              <w:t>0.09</w:t>
            </w:r>
          </w:p>
        </w:tc>
        <w:tc>
          <w:tcPr>
            <w:tcW w:type="dxa" w:w="2538"/>
            <w:vAlign w:val="center"/>
          </w:tcPr>
          <w:p>
            <w:r/>
            <w:r>
              <w:rPr>
                <w:b w:val="0"/>
                <w:sz w:val="17"/>
              </w:rPr>
              <w:t>—</w:t>
            </w:r>
          </w:p>
        </w:tc>
      </w:tr>
      <w:tr>
        <w:tc>
          <w:tcPr>
            <w:tcW w:type="dxa" w:w="2538"/>
            <w:vAlign w:val="center"/>
          </w:tcPr>
          <w:p>
            <w:r/>
            <w:r>
              <w:rPr>
                <w:b w:val="0"/>
                <w:sz w:val="17"/>
              </w:rPr>
              <w:t>Support</w:t>
            </w:r>
          </w:p>
        </w:tc>
        <w:tc>
          <w:tcPr>
            <w:tcW w:type="dxa" w:w="2538"/>
            <w:vAlign w:val="center"/>
          </w:tcPr>
          <w:p>
            <w:r/>
            <w:r>
              <w:rPr>
                <w:b w:val="0"/>
                <w:sz w:val="17"/>
              </w:rPr>
              <w:t>7,169</w:t>
            </w:r>
          </w:p>
        </w:tc>
        <w:tc>
          <w:tcPr>
            <w:tcW w:type="dxa" w:w="2538"/>
            <w:vAlign w:val="center"/>
          </w:tcPr>
          <w:p>
            <w:r/>
            <w:r>
              <w:rPr>
                <w:b w:val="0"/>
                <w:sz w:val="17"/>
              </w:rPr>
              <w:t>123</w:t>
            </w:r>
          </w:p>
        </w:tc>
        <w:tc>
          <w:tcPr>
            <w:tcW w:type="dxa" w:w="2538"/>
            <w:vAlign w:val="center"/>
          </w:tcPr>
          <w:p>
            <w:r/>
            <w:r>
              <w:rPr>
                <w:b w:val="0"/>
                <w:sz w:val="17"/>
              </w:rPr>
              <w:t>7,292</w:t>
            </w:r>
          </w:p>
        </w:tc>
      </w:tr>
      <w:tr>
        <w:tc>
          <w:tcPr>
            <w:tcW w:type="dxa" w:w="2538"/>
            <w:vAlign w:val="center"/>
          </w:tcPr>
          <w:p>
            <w:r/>
            <w:r>
              <w:rPr>
                <w:b w:val="0"/>
                <w:sz w:val="17"/>
              </w:rPr>
              <w:t>Accuracy</w:t>
            </w:r>
          </w:p>
        </w:tc>
        <w:tc>
          <w:tcPr>
            <w:tcW w:type="dxa" w:w="2538"/>
            <w:vAlign w:val="center"/>
          </w:tcPr>
          <w:p>
            <w:r/>
            <w:r>
              <w:rPr>
                <w:b w:val="0"/>
                <w:sz w:val="17"/>
              </w:rPr>
              <w:t>—</w:t>
            </w:r>
          </w:p>
        </w:tc>
        <w:tc>
          <w:tcPr>
            <w:tcW w:type="dxa" w:w="2538"/>
            <w:vAlign w:val="center"/>
          </w:tcPr>
          <w:p>
            <w:r/>
            <w:r>
              <w:rPr>
                <w:b w:val="0"/>
                <w:sz w:val="17"/>
              </w:rPr>
              <w:t>—</w:t>
            </w:r>
          </w:p>
        </w:tc>
        <w:tc>
          <w:tcPr>
            <w:tcW w:type="dxa" w:w="2538"/>
            <w:vAlign w:val="center"/>
          </w:tcPr>
          <w:p>
            <w:r/>
            <w:r>
              <w:rPr>
                <w:b w:val="0"/>
                <w:sz w:val="17"/>
              </w:rPr>
              <w:t>0.89</w:t>
            </w:r>
          </w:p>
        </w:tc>
      </w:tr>
      <w:tr>
        <w:tc>
          <w:tcPr>
            <w:tcW w:type="dxa" w:w="2538"/>
            <w:vAlign w:val="center"/>
          </w:tcPr>
          <w:p>
            <w:r/>
            <w:r>
              <w:rPr>
                <w:b w:val="0"/>
                <w:sz w:val="17"/>
              </w:rPr>
              <w:t>ROC AUC</w:t>
            </w:r>
          </w:p>
        </w:tc>
        <w:tc>
          <w:tcPr>
            <w:tcW w:type="dxa" w:w="2538"/>
            <w:vAlign w:val="center"/>
          </w:tcPr>
          <w:p>
            <w:r/>
            <w:r>
              <w:rPr>
                <w:b w:val="0"/>
                <w:sz w:val="17"/>
              </w:rPr>
              <w:t>—</w:t>
            </w:r>
          </w:p>
        </w:tc>
        <w:tc>
          <w:tcPr>
            <w:tcW w:type="dxa" w:w="2538"/>
            <w:vAlign w:val="center"/>
          </w:tcPr>
          <w:p>
            <w:r/>
            <w:r>
              <w:rPr>
                <w:b w:val="0"/>
                <w:sz w:val="17"/>
              </w:rPr>
              <w:t>—</w:t>
            </w:r>
          </w:p>
        </w:tc>
        <w:tc>
          <w:tcPr>
            <w:tcW w:type="dxa" w:w="2538"/>
            <w:vAlign w:val="center"/>
          </w:tcPr>
          <w:p>
            <w:r/>
            <w:r>
              <w:rPr>
                <w:b w:val="0"/>
                <w:sz w:val="17"/>
              </w:rPr>
              <w:t>0.6468</w:t>
            </w:r>
          </w:p>
        </w:tc>
      </w:tr>
    </w:tbl>
    <w:p/>
    <w:p>
      <w:r>
        <w:t>The ensemble test results show ROC AUC = 0.6468. The notebook’s reported bad-client precision is 0.05 and recall is 0.33. Accuracy is high relative to the minority-class metrics, illustrating why accuracy alone is not an adequate decision metric for this highly imbalanced target.</w:t>
      </w:r>
    </w:p>
    <w:tbl>
      <w:tblPr>
        <w:tblStyle w:val="TableGrid"/>
        <w:tblW w:type="auto" w:w="0"/>
        <w:tblLook w:firstColumn="1" w:firstRow="1" w:lastColumn="0" w:lastRow="0" w:noHBand="0" w:noVBand="1" w:val="04A0"/>
      </w:tblPr>
      <w:tblGrid>
        <w:gridCol w:w="10152"/>
      </w:tblGrid>
      <w:tr>
        <w:tc>
          <w:tcPr>
            <w:tcW w:type="dxa" w:w="10152"/>
            <w:shd w:fill="EAF2F8"/>
          </w:tcPr>
          <w:p>
            <w:r>
              <w:rPr>
                <w:b/>
                <w:color w:val="17365D"/>
              </w:rPr>
              <w:t>Interpretation</w:t>
            </w:r>
            <w:r>
              <w:br/>
              <w:t>The notebook reports a modest ROC AUC improvement from 0.6336 for the initial Logistic Regression to 0.6468 for the ensemble. The results do not establish production readiness; threshold selection, calibration, cost-sensitive evaluation and out-of-time validation would still be required.</w:t>
            </w:r>
          </w:p>
        </w:tc>
      </w:tr>
    </w:tbl>
    <w:p/>
    <w:p>
      <w:pPr>
        <w:pStyle w:val="Heading1"/>
      </w:pPr>
      <w:r>
        <w:t>10. Hyperparameter Tuning &amp; Comparative Analysis</w:t>
      </w:r>
    </w:p>
    <w:p>
      <w:r>
        <w:t>The notebook includes a Logistic Regression tuning workflow using an imbalanced-learn pipeline, SMOTE and GridSearchCV. The search uses 3-fold cross-validation and evaluates six parameter candidates, resulting in 18 fits.</w:t>
      </w:r>
    </w:p>
    <w:p>
      <w:r>
        <w:t>A RandomizedSearchCV workflow is also initiated for the ensemble model. The notebook subsequently performs comparative ROC AUC and feature-importance visualization activities. One final notebook section notes that an earlier tuning execution was interrupted, leaving best_lr_model_tuned undefined in that execution; the notebook then re-executes the tuning workflow to define it.</w:t>
      </w:r>
    </w:p>
    <w:tbl>
      <w:tblPr>
        <w:tblStyle w:val="TableGrid"/>
        <w:tblW w:type="auto" w:w="0"/>
        <w:tblLook w:firstColumn="1" w:firstRow="1" w:lastColumn="0" w:lastRow="0" w:noHBand="0" w:noVBand="1" w:val="04A0"/>
      </w:tblPr>
      <w:tblGrid>
        <w:gridCol w:w="10152"/>
      </w:tblGrid>
      <w:tr>
        <w:tc>
          <w:tcPr>
            <w:tcW w:type="dxa" w:w="10152"/>
            <w:shd w:fill="FFF2CC"/>
          </w:tcPr>
          <w:p>
            <w:r>
              <w:rPr>
                <w:b/>
                <w:color w:val="17365D"/>
              </w:rPr>
              <w:t>Documentation note</w:t>
            </w:r>
            <w:r>
              <w:br/>
              <w:t>The notebook contains a placeholder fallback ROC AUC value of 0.6385 in one visualization cell when the tuned metric is unavailable. Because this value is explicitly marked as a placeholder in the source, it should not be treated as an independently verified model result.</w:t>
            </w:r>
          </w:p>
        </w:tc>
      </w:tr>
    </w:tbl>
    <w:p/>
    <w:p>
      <w:pPr>
        <w:pStyle w:val="Heading1"/>
      </w:pPr>
      <w:r>
        <w:t>11. Credit Score Construction</w:t>
      </w:r>
    </w:p>
    <w:p>
      <w:r>
        <w:t>The ensemble’s predicted probability of being a bad client (P_bad) is transformed into a FICO-style score using log-odds mapping. Probabilities are clipped to [0.0001, 0.9999] before the logarithm is calculated.</w:t>
      </w:r>
    </w:p>
    <w:p>
      <w:pPr>
        <w:pStyle w:val="Heading2"/>
      </w:pPr>
      <w:r>
        <w:t>11.1 Calibration Constants</w:t>
      </w:r>
    </w:p>
    <w:tbl>
      <w:tblPr>
        <w:tblStyle w:val="TableGrid"/>
        <w:tblW w:type="auto" w:w="0"/>
        <w:jc w:val="center"/>
        <w:tblLook w:firstColumn="1" w:firstRow="1" w:lastColumn="0" w:lastRow="0" w:noHBand="0" w:noVBand="1" w:val="04A0"/>
      </w:tblPr>
      <w:tblGrid>
        <w:gridCol w:w="5076"/>
        <w:gridCol w:w="5076"/>
      </w:tblGrid>
      <w:tr>
        <w:trPr>
          <w:tblHeader w:val="true"/>
        </w:trPr>
        <w:tc>
          <w:tcPr>
            <w:tcW w:type="dxa" w:w="5076"/>
            <w:vAlign w:val="center"/>
            <w:shd w:fill="17365D"/>
          </w:tcPr>
          <w:p>
            <w:r/>
            <w:r>
              <w:rPr>
                <w:b/>
                <w:color w:val="FFFFFF"/>
                <w:sz w:val="18"/>
              </w:rPr>
              <w:t>Parameter</w:t>
            </w:r>
          </w:p>
        </w:tc>
        <w:tc>
          <w:tcPr>
            <w:tcW w:type="dxa" w:w="5076"/>
            <w:vAlign w:val="center"/>
            <w:shd w:fill="17365D"/>
          </w:tcPr>
          <w:p>
            <w:r/>
            <w:r>
              <w:rPr>
                <w:b/>
                <w:color w:val="FFFFFF"/>
                <w:sz w:val="18"/>
              </w:rPr>
              <w:t>Value</w:t>
            </w:r>
          </w:p>
        </w:tc>
      </w:tr>
      <w:tr>
        <w:tc>
          <w:tcPr>
            <w:tcW w:type="dxa" w:w="5076"/>
            <w:vAlign w:val="center"/>
          </w:tcPr>
          <w:p>
            <w:r/>
            <w:r>
              <w:rPr>
                <w:b w:val="0"/>
                <w:sz w:val="17"/>
              </w:rPr>
              <w:t>Base score</w:t>
            </w:r>
          </w:p>
        </w:tc>
        <w:tc>
          <w:tcPr>
            <w:tcW w:type="dxa" w:w="5076"/>
            <w:vAlign w:val="center"/>
          </w:tcPr>
          <w:p>
            <w:r/>
            <w:r>
              <w:rPr>
                <w:b w:val="0"/>
                <w:sz w:val="17"/>
              </w:rPr>
              <w:t>600</w:t>
            </w:r>
          </w:p>
        </w:tc>
      </w:tr>
      <w:tr>
        <w:tc>
          <w:tcPr>
            <w:tcW w:type="dxa" w:w="5076"/>
            <w:vAlign w:val="center"/>
          </w:tcPr>
          <w:p>
            <w:r/>
            <w:r>
              <w:rPr>
                <w:b w:val="0"/>
                <w:sz w:val="17"/>
              </w:rPr>
              <w:t>Base odds</w:t>
            </w:r>
          </w:p>
        </w:tc>
        <w:tc>
          <w:tcPr>
            <w:tcW w:type="dxa" w:w="5076"/>
            <w:vAlign w:val="center"/>
          </w:tcPr>
          <w:p>
            <w:r/>
            <w:r>
              <w:rPr>
                <w:b w:val="0"/>
                <w:sz w:val="17"/>
              </w:rPr>
              <w:t>50:1</w:t>
            </w:r>
          </w:p>
        </w:tc>
      </w:tr>
      <w:tr>
        <w:tc>
          <w:tcPr>
            <w:tcW w:type="dxa" w:w="5076"/>
            <w:vAlign w:val="center"/>
          </w:tcPr>
          <w:p>
            <w:r/>
            <w:r>
              <w:rPr>
                <w:b w:val="0"/>
                <w:sz w:val="17"/>
              </w:rPr>
              <w:t>PDO (points to double odds)</w:t>
            </w:r>
          </w:p>
        </w:tc>
        <w:tc>
          <w:tcPr>
            <w:tcW w:type="dxa" w:w="5076"/>
            <w:vAlign w:val="center"/>
          </w:tcPr>
          <w:p>
            <w:r/>
            <w:r>
              <w:rPr>
                <w:b w:val="0"/>
                <w:sz w:val="17"/>
              </w:rPr>
              <w:t>20</w:t>
            </w:r>
          </w:p>
        </w:tc>
      </w:tr>
      <w:tr>
        <w:tc>
          <w:tcPr>
            <w:tcW w:type="dxa" w:w="5076"/>
            <w:vAlign w:val="center"/>
          </w:tcPr>
          <w:p>
            <w:r/>
            <w:r>
              <w:rPr>
                <w:b w:val="0"/>
                <w:sz w:val="17"/>
              </w:rPr>
              <w:t>Offset constant</w:t>
            </w:r>
          </w:p>
        </w:tc>
        <w:tc>
          <w:tcPr>
            <w:tcW w:type="dxa" w:w="5076"/>
            <w:vAlign w:val="center"/>
          </w:tcPr>
          <w:p>
            <w:r/>
            <w:r>
              <w:rPr>
                <w:b w:val="0"/>
                <w:sz w:val="17"/>
              </w:rPr>
              <w:t>487.12</w:t>
            </w:r>
          </w:p>
        </w:tc>
      </w:tr>
      <w:tr>
        <w:tc>
          <w:tcPr>
            <w:tcW w:type="dxa" w:w="5076"/>
            <w:vAlign w:val="center"/>
          </w:tcPr>
          <w:p>
            <w:r/>
            <w:r>
              <w:rPr>
                <w:b w:val="0"/>
                <w:sz w:val="17"/>
              </w:rPr>
              <w:t>Factor constant</w:t>
            </w:r>
          </w:p>
        </w:tc>
        <w:tc>
          <w:tcPr>
            <w:tcW w:type="dxa" w:w="5076"/>
            <w:vAlign w:val="center"/>
          </w:tcPr>
          <w:p>
            <w:r/>
            <w:r>
              <w:rPr>
                <w:b w:val="0"/>
                <w:sz w:val="17"/>
              </w:rPr>
              <w:t>28.85</w:t>
            </w:r>
          </w:p>
        </w:tc>
      </w:tr>
    </w:tbl>
    <w:p/>
    <w:p>
      <w:r>
        <w:t>The implemented transformation is conceptually represented as: Score = Offset − Factor × ln(P_bad / (1 − P_bad)), followed by rounding and clipping to the 300–850 range.</w:t>
      </w:r>
    </w:p>
    <w:p>
      <w:pPr>
        <w:pStyle w:val="Heading2"/>
      </w:pPr>
      <w:r>
        <w:t>11.2 Score and Decision Fields</w:t>
      </w:r>
    </w:p>
    <w:tbl>
      <w:tblPr>
        <w:tblStyle w:val="TableGrid"/>
        <w:tblW w:type="auto" w:w="0"/>
        <w:jc w:val="center"/>
        <w:tblLook w:firstColumn="1" w:firstRow="1" w:lastColumn="0" w:lastRow="0" w:noHBand="0" w:noVBand="1" w:val="04A0"/>
      </w:tblPr>
      <w:tblGrid>
        <w:gridCol w:w="5076"/>
        <w:gridCol w:w="5076"/>
      </w:tblGrid>
      <w:tr>
        <w:trPr>
          <w:tblHeader w:val="true"/>
        </w:trPr>
        <w:tc>
          <w:tcPr>
            <w:tcW w:type="dxa" w:w="5076"/>
            <w:vAlign w:val="center"/>
            <w:shd w:fill="17365D"/>
          </w:tcPr>
          <w:p>
            <w:r/>
            <w:r>
              <w:rPr>
                <w:b/>
                <w:color w:val="FFFFFF"/>
                <w:sz w:val="18"/>
              </w:rPr>
              <w:t>Field</w:t>
            </w:r>
          </w:p>
        </w:tc>
        <w:tc>
          <w:tcPr>
            <w:tcW w:type="dxa" w:w="5076"/>
            <w:vAlign w:val="center"/>
            <w:shd w:fill="17365D"/>
          </w:tcPr>
          <w:p>
            <w:r/>
            <w:r>
              <w:rPr>
                <w:b/>
                <w:color w:val="FFFFFF"/>
                <w:sz w:val="18"/>
              </w:rPr>
              <w:t>Definition</w:t>
            </w:r>
          </w:p>
        </w:tc>
      </w:tr>
      <w:tr>
        <w:tc>
          <w:tcPr>
            <w:tcW w:type="dxa" w:w="5076"/>
            <w:vAlign w:val="center"/>
          </w:tcPr>
          <w:p>
            <w:r/>
            <w:r>
              <w:rPr>
                <w:b w:val="0"/>
                <w:sz w:val="17"/>
              </w:rPr>
              <w:t>CREDIT_SCORE</w:t>
            </w:r>
          </w:p>
        </w:tc>
        <w:tc>
          <w:tcPr>
            <w:tcW w:type="dxa" w:w="5076"/>
            <w:vAlign w:val="center"/>
          </w:tcPr>
          <w:p>
            <w:r/>
            <w:r>
              <w:rPr>
                <w:b w:val="0"/>
                <w:sz w:val="17"/>
              </w:rPr>
              <w:t>Initial Logistic Regression probability of bad-client class</w:t>
            </w:r>
          </w:p>
        </w:tc>
      </w:tr>
      <w:tr>
        <w:tc>
          <w:tcPr>
            <w:tcW w:type="dxa" w:w="5076"/>
            <w:vAlign w:val="center"/>
          </w:tcPr>
          <w:p>
            <w:r/>
            <w:r>
              <w:rPr>
                <w:b w:val="0"/>
                <w:sz w:val="17"/>
              </w:rPr>
              <w:t>CONSOLIDATED_SCORE</w:t>
            </w:r>
          </w:p>
        </w:tc>
        <w:tc>
          <w:tcPr>
            <w:tcW w:type="dxa" w:w="5076"/>
            <w:vAlign w:val="center"/>
          </w:tcPr>
          <w:p>
            <w:r/>
            <w:r>
              <w:rPr>
                <w:b w:val="0"/>
                <w:sz w:val="17"/>
              </w:rPr>
              <w:t>Ensemble probability transformed to a 300–850 score</w:t>
            </w:r>
          </w:p>
        </w:tc>
      </w:tr>
      <w:tr>
        <w:tc>
          <w:tcPr>
            <w:tcW w:type="dxa" w:w="5076"/>
            <w:vAlign w:val="center"/>
          </w:tcPr>
          <w:p>
            <w:r/>
            <w:r>
              <w:rPr>
                <w:b w:val="0"/>
                <w:sz w:val="17"/>
              </w:rPr>
              <w:t>AUTOMATED_DECISION</w:t>
            </w:r>
          </w:p>
        </w:tc>
        <w:tc>
          <w:tcPr>
            <w:tcW w:type="dxa" w:w="5076"/>
            <w:vAlign w:val="center"/>
          </w:tcPr>
          <w:p>
            <w:r/>
            <w:r>
              <w:rPr>
                <w:b w:val="0"/>
                <w:sz w:val="17"/>
              </w:rPr>
              <w:t>APPROVE when consolidated score meets threshold; otherwise REJECT</w:t>
            </w:r>
          </w:p>
        </w:tc>
      </w:tr>
      <w:tr>
        <w:tc>
          <w:tcPr>
            <w:tcW w:type="dxa" w:w="5076"/>
            <w:vAlign w:val="center"/>
          </w:tcPr>
          <w:p>
            <w:r/>
            <w:r>
              <w:rPr>
                <w:b w:val="0"/>
                <w:sz w:val="17"/>
              </w:rPr>
              <w:t>AUTOMATED_DECISION_RULED</w:t>
            </w:r>
          </w:p>
        </w:tc>
        <w:tc>
          <w:tcPr>
            <w:tcW w:type="dxa" w:w="5076"/>
            <w:vAlign w:val="center"/>
          </w:tcPr>
          <w:p>
            <w:r/>
            <w:r>
              <w:rPr>
                <w:b w:val="0"/>
                <w:sz w:val="17"/>
              </w:rPr>
              <w:t>Same decision mechanism using the explicitly tested business threshold of 650</w:t>
            </w:r>
          </w:p>
        </w:tc>
      </w:tr>
    </w:tbl>
    <w:p/>
    <w:p>
      <w:pPr>
        <w:pStyle w:val="Heading1"/>
      </w:pPr>
      <w:r>
        <w:t>12. Automated Decisioning &amp; Business Rules</w:t>
      </w:r>
    </w:p>
    <w:p>
      <w:r>
        <w:t>The notebook initially applies a 600 approval threshold to the consolidated score. It then tests a more conservative threshold of 650.</w:t>
      </w:r>
    </w:p>
    <w:tbl>
      <w:tblPr>
        <w:tblStyle w:val="TableGrid"/>
        <w:tblW w:type="auto" w:w="0"/>
        <w:jc w:val="center"/>
        <w:tblLook w:firstColumn="1" w:firstRow="1" w:lastColumn="0" w:lastRow="0" w:noHBand="0" w:noVBand="1" w:val="04A0"/>
      </w:tblPr>
      <w:tblGrid>
        <w:gridCol w:w="5076"/>
        <w:gridCol w:w="5076"/>
      </w:tblGrid>
      <w:tr>
        <w:trPr>
          <w:tblHeader w:val="true"/>
        </w:trPr>
        <w:tc>
          <w:tcPr>
            <w:tcW w:type="dxa" w:w="5076"/>
            <w:vAlign w:val="center"/>
            <w:shd w:fill="17365D"/>
          </w:tcPr>
          <w:p>
            <w:r/>
            <w:r>
              <w:rPr>
                <w:b/>
                <w:color w:val="FFFFFF"/>
                <w:sz w:val="18"/>
              </w:rPr>
              <w:t>Rule</w:t>
            </w:r>
          </w:p>
        </w:tc>
        <w:tc>
          <w:tcPr>
            <w:tcW w:type="dxa" w:w="5076"/>
            <w:vAlign w:val="center"/>
            <w:shd w:fill="17365D"/>
          </w:tcPr>
          <w:p>
            <w:r/>
            <w:r>
              <w:rPr>
                <w:b/>
                <w:color w:val="FFFFFF"/>
                <w:sz w:val="18"/>
              </w:rPr>
              <w:t>Observed result in notebook</w:t>
            </w:r>
          </w:p>
        </w:tc>
      </w:tr>
      <w:tr>
        <w:tc>
          <w:tcPr>
            <w:tcW w:type="dxa" w:w="5076"/>
            <w:vAlign w:val="center"/>
          </w:tcPr>
          <w:p>
            <w:r/>
            <w:r>
              <w:rPr>
                <w:b w:val="0"/>
                <w:sz w:val="17"/>
              </w:rPr>
              <w:t>Default score rule: score ≥ 600</w:t>
            </w:r>
          </w:p>
        </w:tc>
        <w:tc>
          <w:tcPr>
            <w:tcW w:type="dxa" w:w="5076"/>
            <w:vAlign w:val="center"/>
          </w:tcPr>
          <w:p>
            <w:r/>
            <w:r>
              <w:rPr>
                <w:b w:val="0"/>
                <w:sz w:val="17"/>
              </w:rPr>
              <w:t>Original automated decision distribution: 36,457 REJECT; no APPROVE records reported</w:t>
            </w:r>
          </w:p>
        </w:tc>
      </w:tr>
      <w:tr>
        <w:tc>
          <w:tcPr>
            <w:tcW w:type="dxa" w:w="5076"/>
            <w:vAlign w:val="center"/>
          </w:tcPr>
          <w:p>
            <w:r/>
            <w:r>
              <w:rPr>
                <w:b w:val="0"/>
                <w:sz w:val="17"/>
              </w:rPr>
              <w:t>Business rule: score ≥ 650</w:t>
            </w:r>
          </w:p>
        </w:tc>
        <w:tc>
          <w:tcPr>
            <w:tcW w:type="dxa" w:w="5076"/>
            <w:vAlign w:val="center"/>
          </w:tcPr>
          <w:p>
            <w:r/>
            <w:r>
              <w:rPr>
                <w:b w:val="0"/>
                <w:sz w:val="17"/>
              </w:rPr>
              <w:t>36,457 REJECT; no APPROVE records reported</w:t>
            </w:r>
          </w:p>
        </w:tc>
      </w:tr>
      <w:tr>
        <w:tc>
          <w:tcPr>
            <w:tcW w:type="dxa" w:w="5076"/>
            <w:vAlign w:val="center"/>
          </w:tcPr>
          <w:p>
            <w:r/>
            <w:r>
              <w:rPr>
                <w:b w:val="0"/>
                <w:sz w:val="17"/>
              </w:rPr>
              <w:t>Approved clients under 650 rule</w:t>
            </w:r>
          </w:p>
        </w:tc>
        <w:tc>
          <w:tcPr>
            <w:tcW w:type="dxa" w:w="5076"/>
            <w:vAlign w:val="center"/>
          </w:tcPr>
          <w:p>
            <w:r/>
            <w:r>
              <w:rPr>
                <w:b w:val="0"/>
                <w:sz w:val="17"/>
              </w:rPr>
              <w:t>0</w:t>
            </w:r>
          </w:p>
        </w:tc>
      </w:tr>
    </w:tbl>
    <w:p/>
    <w:tbl>
      <w:tblPr>
        <w:tblStyle w:val="TableGrid"/>
        <w:tblW w:type="auto" w:w="0"/>
        <w:tblLook w:firstColumn="1" w:firstRow="1" w:lastColumn="0" w:lastRow="0" w:noHBand="0" w:noVBand="1" w:val="04A0"/>
      </w:tblPr>
      <w:tblGrid>
        <w:gridCol w:w="10152"/>
      </w:tblGrid>
      <w:tr>
        <w:tc>
          <w:tcPr>
            <w:tcW w:type="dxa" w:w="10152"/>
            <w:shd w:fill="FCE4D6"/>
          </w:tcPr>
          <w:p>
            <w:r>
              <w:rPr>
                <w:b/>
                <w:color w:val="17365D"/>
              </w:rPr>
              <w:t>Critical calibration observation</w:t>
            </w:r>
            <w:r>
              <w:br/>
              <w:t>The decision layer currently produces no approvals in the scored population shown by the notebook. This suggests that the score distribution and/or score-direction interpretation is not aligned with the intended approval policy. The scoring and threshold logic should therefore be validated before being used operationally.</w:t>
            </w:r>
          </w:p>
        </w:tc>
      </w:tr>
    </w:tbl>
    <w:p/>
    <w:p>
      <w:pPr>
        <w:pStyle w:val="Heading1"/>
      </w:pPr>
      <w:r>
        <w:t>13. Model Interpretability &amp; Feature Importance</w:t>
      </w:r>
    </w:p>
    <w:p>
      <w:r>
        <w:t>The notebook extracts feature importances from the Random Forest component and absolute coefficients from the Logistic Regression component. This allows the project to inspect which transformed and encoded variables contribute most strongly to model output.</w:t>
      </w:r>
    </w:p>
    <w:p>
      <w:pPr>
        <w:pStyle w:val="Heading2"/>
      </w:pPr>
      <w:r>
        <w:t>13.1 Random Forest</w:t>
      </w:r>
    </w:p>
    <w:p>
      <w:r>
        <w:t>Random Forest importance is derived from the model’s feature_importances_ values after preprocessing. The notebook visualizes the top 10 features.</w:t>
      </w:r>
    </w:p>
    <w:p>
      <w:pPr>
        <w:pStyle w:val="Heading2"/>
      </w:pPr>
      <w:r>
        <w:t>13.2 Logistic Regression</w:t>
      </w:r>
    </w:p>
    <w:p>
      <w:r>
        <w:t>Logistic Regression interpretability is based on coefficient magnitude. Absolute coefficient values are used for comparative importance, while the underlying signed coefficient indicates direction of association.</w:t>
      </w:r>
    </w:p>
    <w:tbl>
      <w:tblPr>
        <w:tblStyle w:val="TableGrid"/>
        <w:tblW w:type="auto" w:w="0"/>
        <w:tblLook w:firstColumn="1" w:firstRow="1" w:lastColumn="0" w:lastRow="0" w:noHBand="0" w:noVBand="1" w:val="04A0"/>
      </w:tblPr>
      <w:tblGrid>
        <w:gridCol w:w="10152"/>
      </w:tblGrid>
      <w:tr>
        <w:tc>
          <w:tcPr>
            <w:tcW w:type="dxa" w:w="10152"/>
            <w:shd w:fill="F2F2F2"/>
          </w:tcPr>
          <w:p>
            <w:r>
              <w:rPr>
                <w:b/>
                <w:color w:val="17365D"/>
              </w:rPr>
              <w:t>Interpretability caution</w:t>
            </w:r>
            <w:r>
              <w:br/>
              <w:t>Feature importance describes model behavior within the training data and feature representation. It should not be interpreted as causal evidence that a customer characteristic causes credit delinquency.</w:t>
            </w:r>
          </w:p>
        </w:tc>
      </w:tr>
    </w:tbl>
    <w:p/>
    <w:p>
      <w:pPr>
        <w:pStyle w:val="Heading1"/>
      </w:pPr>
      <w:r>
        <w:t>14. Technical Limitations &amp; Risk Considerations</w:t>
      </w:r>
    </w:p>
    <w:p>
      <w:pPr>
        <w:pStyle w:val="ListBullet"/>
        <w:spacing w:after="60"/>
      </w:pPr>
      <w:r>
        <w:t>Extreme class imbalance: Only 2,828 of 777,715 merged monthly rows are labeled bad under the applicant-level target construction. Precision, recall and business costs should therefore be emphasized over accuracy.</w:t>
      </w:r>
    </w:p>
    <w:p>
      <w:pPr>
        <w:pStyle w:val="ListBullet"/>
        <w:spacing w:after="60"/>
      </w:pPr>
      <w:r>
        <w:t>Very low minority precision: The initial Logistic Regression reports 0.01 precision for class 1; the ensemble reports 0.05. This means a substantial number of predicted bad clients are false positives under the current test setup.</w:t>
      </w:r>
    </w:p>
    <w:p>
      <w:pPr>
        <w:pStyle w:val="ListBullet"/>
        <w:spacing w:after="60"/>
      </w:pPr>
      <w:r>
        <w:t>Modest discrimination: ROC AUC values of 0.6336 and 0.6468 indicate limited separation in the current implementation.</w:t>
      </w:r>
    </w:p>
    <w:p>
      <w:pPr>
        <w:pStyle w:val="ListBullet"/>
        <w:spacing w:after="60"/>
      </w:pPr>
      <w:r>
        <w:t>Threshold calibration: The implemented 600 and 650 score rules result in zero approvals in the displayed scored population. Score orientation, calibration constants, probability mapping and threshold policy require review.</w:t>
      </w:r>
    </w:p>
    <w:p>
      <w:pPr>
        <w:pStyle w:val="ListBullet"/>
        <w:spacing w:after="60"/>
      </w:pPr>
      <w:r>
        <w:t>Temporal structure: The credit record contains monthly observations, but the final target uses an 'ever bad' aggregation. This can differ materially from point-in-time underwriting and may introduce temporal leakage depending on intended deployment timing.</w:t>
      </w:r>
    </w:p>
    <w:p>
      <w:pPr>
        <w:pStyle w:val="ListBullet"/>
        <w:spacing w:after="60"/>
      </w:pPr>
      <w:r>
        <w:t>Application duplicates: The notebook keeps the first application row for duplicate IDs. A production process should establish a deterministic deduplication rule based on source-system semantics.</w:t>
      </w:r>
    </w:p>
    <w:p>
      <w:pPr>
        <w:pStyle w:val="ListBullet"/>
        <w:spacing w:after="60"/>
      </w:pPr>
      <w:r>
        <w:t>SMOTE methodology: SMOTE is appropriate as an imbalance technique but should be confined strictly to training folds in cross-validation and validated against business-cost-sensitive alternatives.</w:t>
      </w:r>
    </w:p>
    <w:p>
      <w:pPr>
        <w:pStyle w:val="ListBullet"/>
        <w:spacing w:after="60"/>
      </w:pPr>
      <w:r>
        <w:t>Calibration: A probability-to-score transformation does not by itself guarantee that probabilities are calibrated. Probability calibration should be assessed separately.</w:t>
      </w:r>
    </w:p>
    <w:p>
      <w:pPr>
        <w:pStyle w:val="ListBullet"/>
        <w:spacing w:after="60"/>
      </w:pPr>
      <w:r>
        <w:t>Fair lending / governance: The notebook includes demographic and socioeconomic attributes. Any real lending deployment would require appropriate legal, regulatory, fairness, explainability and governance review.</w:t>
      </w:r>
    </w:p>
    <w:p>
      <w:pPr>
        <w:pStyle w:val="Heading1"/>
      </w:pPr>
      <w:r>
        <w:t>15. Recommended Next Development Phase</w:t>
      </w:r>
    </w:p>
    <w:p>
      <w:r>
        <w:t>The following items are framed as technical next steps for strengthening the project; they are not presented as completed work because they are not demonstrated in the supplied notebook.</w:t>
      </w:r>
    </w:p>
    <w:p>
      <w:pPr>
        <w:pStyle w:val="ListNumber"/>
        <w:spacing w:after="60"/>
      </w:pPr>
      <w:r>
        <w:t>Validate the score direction: determine whether higher score is intended to represent lower or higher probability of default and confirm that the approval rule uses the correct direction.</w:t>
      </w:r>
    </w:p>
    <w:p>
      <w:pPr>
        <w:pStyle w:val="ListNumber"/>
        <w:spacing w:after="60"/>
      </w:pPr>
      <w:r>
        <w:t>Plot and quantify the CONSOLIDATED_SCORE distribution, including percentiles, minimum, maximum and proportion above each candidate threshold.</w:t>
      </w:r>
    </w:p>
    <w:p>
      <w:pPr>
        <w:pStyle w:val="ListNumber"/>
        <w:spacing w:after="60"/>
      </w:pPr>
      <w:r>
        <w:t>Perform probability calibration using an appropriate validation methodology and compare calibrated vs. uncalibrated probabilities.</w:t>
      </w:r>
    </w:p>
    <w:p>
      <w:pPr>
        <w:pStyle w:val="ListNumber"/>
        <w:spacing w:after="60"/>
      </w:pPr>
      <w:r>
        <w:t>Evaluate PR AUC, precision at operational recall levels, expected loss, false-positive cost and false-negative cost in addition to ROC AUC.</w:t>
      </w:r>
    </w:p>
    <w:p>
      <w:pPr>
        <w:pStyle w:val="ListNumber"/>
        <w:spacing w:after="60"/>
      </w:pPr>
      <w:r>
        <w:t>Use time-aware validation if the model is intended to predict future credit behavior.</w:t>
      </w:r>
    </w:p>
    <w:p>
      <w:pPr>
        <w:pStyle w:val="ListNumber"/>
        <w:spacing w:after="60"/>
      </w:pPr>
      <w:r>
        <w:t>Revisit the applicant-level 'ever bad' target and define a point-in-time prediction window appropriate to the business decision.</w:t>
      </w:r>
    </w:p>
    <w:p>
      <w:pPr>
        <w:pStyle w:val="ListNumber"/>
        <w:spacing w:after="60"/>
      </w:pPr>
      <w:r>
        <w:t>Compare the current ensemble with additional models such as calibrated gradient boosting or other suitable tabular learners, while preserving interpretability requirements.</w:t>
      </w:r>
    </w:p>
    <w:p>
      <w:pPr>
        <w:pStyle w:val="ListNumber"/>
        <w:spacing w:after="60"/>
      </w:pPr>
      <w:r>
        <w:t>Create a model-card style governance layer covering data lineage, feature definitions, training population, exclusions, limitations, monitoring and approval policy.</w:t>
      </w:r>
    </w:p>
    <w:p>
      <w:pPr>
        <w:pStyle w:val="ListNumber"/>
        <w:spacing w:after="60"/>
      </w:pPr>
      <w:r>
        <w:t>Define production monitoring for score drift, feature drift, approval rate, bad rate, calibration, population stability and performance decay.</w:t>
      </w:r>
    </w:p>
    <w:p>
      <w:pPr>
        <w:pStyle w:val="Heading1"/>
      </w:pPr>
      <w:r>
        <w:t>16. Productionization Blueprint</w:t>
      </w:r>
    </w:p>
    <w:tbl>
      <w:tblPr>
        <w:tblStyle w:val="TableGrid"/>
        <w:tblW w:type="auto" w:w="0"/>
        <w:jc w:val="center"/>
        <w:tblLook w:firstColumn="1" w:firstRow="1" w:lastColumn="0" w:lastRow="0" w:noHBand="0" w:noVBand="1" w:val="04A0"/>
      </w:tblPr>
      <w:tblGrid>
        <w:gridCol w:w="3384"/>
        <w:gridCol w:w="3384"/>
        <w:gridCol w:w="3384"/>
      </w:tblGrid>
      <w:tr>
        <w:trPr>
          <w:tblHeader w:val="true"/>
        </w:trPr>
        <w:tc>
          <w:tcPr>
            <w:tcW w:type="dxa" w:w="3384"/>
            <w:vAlign w:val="center"/>
            <w:shd w:fill="17365D"/>
          </w:tcPr>
          <w:p>
            <w:r/>
            <w:r>
              <w:rPr>
                <w:b/>
                <w:color w:val="FFFFFF"/>
                <w:sz w:val="18"/>
              </w:rPr>
              <w:t>Layer</w:t>
            </w:r>
          </w:p>
        </w:tc>
        <w:tc>
          <w:tcPr>
            <w:tcW w:type="dxa" w:w="3384"/>
            <w:vAlign w:val="center"/>
            <w:shd w:fill="17365D"/>
          </w:tcPr>
          <w:p>
            <w:r/>
            <w:r>
              <w:rPr>
                <w:b/>
                <w:color w:val="FFFFFF"/>
                <w:sz w:val="18"/>
              </w:rPr>
              <w:t>Production responsibility</w:t>
            </w:r>
          </w:p>
        </w:tc>
        <w:tc>
          <w:tcPr>
            <w:tcW w:type="dxa" w:w="3384"/>
            <w:vAlign w:val="center"/>
            <w:shd w:fill="17365D"/>
          </w:tcPr>
          <w:p>
            <w:r/>
            <w:r>
              <w:rPr>
                <w:b/>
                <w:color w:val="FFFFFF"/>
                <w:sz w:val="18"/>
              </w:rPr>
              <w:t>Suggested control</w:t>
            </w:r>
          </w:p>
        </w:tc>
      </w:tr>
      <w:tr>
        <w:tc>
          <w:tcPr>
            <w:tcW w:type="dxa" w:w="3384"/>
            <w:vAlign w:val="center"/>
          </w:tcPr>
          <w:p>
            <w:r/>
            <w:r>
              <w:rPr>
                <w:b w:val="0"/>
                <w:sz w:val="17"/>
              </w:rPr>
              <w:t>Data ingestion</w:t>
            </w:r>
          </w:p>
        </w:tc>
        <w:tc>
          <w:tcPr>
            <w:tcW w:type="dxa" w:w="3384"/>
            <w:vAlign w:val="center"/>
          </w:tcPr>
          <w:p>
            <w:r/>
            <w:r>
              <w:rPr>
                <w:b w:val="0"/>
                <w:sz w:val="17"/>
              </w:rPr>
              <w:t>Load application and credit-history data</w:t>
            </w:r>
          </w:p>
        </w:tc>
        <w:tc>
          <w:tcPr>
            <w:tcW w:type="dxa" w:w="3384"/>
            <w:vAlign w:val="center"/>
          </w:tcPr>
          <w:p>
            <w:r/>
            <w:r>
              <w:rPr>
                <w:b w:val="0"/>
                <w:sz w:val="17"/>
              </w:rPr>
              <w:t>Schema validation, completeness checks, ID integrity</w:t>
            </w:r>
          </w:p>
        </w:tc>
      </w:tr>
      <w:tr>
        <w:tc>
          <w:tcPr>
            <w:tcW w:type="dxa" w:w="3384"/>
            <w:vAlign w:val="center"/>
          </w:tcPr>
          <w:p>
            <w:r/>
            <w:r>
              <w:rPr>
                <w:b w:val="0"/>
                <w:sz w:val="17"/>
              </w:rPr>
              <w:t>Feature layer</w:t>
            </w:r>
          </w:p>
        </w:tc>
        <w:tc>
          <w:tcPr>
            <w:tcW w:type="dxa" w:w="3384"/>
            <w:vAlign w:val="center"/>
          </w:tcPr>
          <w:p>
            <w:r/>
            <w:r>
              <w:rPr>
                <w:b w:val="0"/>
                <w:sz w:val="17"/>
              </w:rPr>
              <w:t>Reproduce approved transformations</w:t>
            </w:r>
          </w:p>
        </w:tc>
        <w:tc>
          <w:tcPr>
            <w:tcW w:type="dxa" w:w="3384"/>
            <w:vAlign w:val="center"/>
          </w:tcPr>
          <w:p>
            <w:r/>
            <w:r>
              <w:rPr>
                <w:b w:val="0"/>
                <w:sz w:val="17"/>
              </w:rPr>
              <w:t>Versioned feature definitions and unit tests</w:t>
            </w:r>
          </w:p>
        </w:tc>
      </w:tr>
      <w:tr>
        <w:tc>
          <w:tcPr>
            <w:tcW w:type="dxa" w:w="3384"/>
            <w:vAlign w:val="center"/>
          </w:tcPr>
          <w:p>
            <w:r/>
            <w:r>
              <w:rPr>
                <w:b w:val="0"/>
                <w:sz w:val="17"/>
              </w:rPr>
              <w:t>Model layer</w:t>
            </w:r>
          </w:p>
        </w:tc>
        <w:tc>
          <w:tcPr>
            <w:tcW w:type="dxa" w:w="3384"/>
            <w:vAlign w:val="center"/>
          </w:tcPr>
          <w:p>
            <w:r/>
            <w:r>
              <w:rPr>
                <w:b w:val="0"/>
                <w:sz w:val="17"/>
              </w:rPr>
              <w:t>Load versioned preprocessing + model pipeline</w:t>
            </w:r>
          </w:p>
        </w:tc>
        <w:tc>
          <w:tcPr>
            <w:tcW w:type="dxa" w:w="3384"/>
            <w:vAlign w:val="center"/>
          </w:tcPr>
          <w:p>
            <w:r/>
            <w:r>
              <w:rPr>
                <w:b w:val="0"/>
                <w:sz w:val="17"/>
              </w:rPr>
              <w:t>Model registry and reproducible artifacts</w:t>
            </w:r>
          </w:p>
        </w:tc>
      </w:tr>
      <w:tr>
        <w:tc>
          <w:tcPr>
            <w:tcW w:type="dxa" w:w="3384"/>
            <w:vAlign w:val="center"/>
          </w:tcPr>
          <w:p>
            <w:r/>
            <w:r>
              <w:rPr>
                <w:b w:val="0"/>
                <w:sz w:val="17"/>
              </w:rPr>
              <w:t>Scoring layer</w:t>
            </w:r>
          </w:p>
        </w:tc>
        <w:tc>
          <w:tcPr>
            <w:tcW w:type="dxa" w:w="3384"/>
            <w:vAlign w:val="center"/>
          </w:tcPr>
          <w:p>
            <w:r/>
            <w:r>
              <w:rPr>
                <w:b w:val="0"/>
                <w:sz w:val="17"/>
              </w:rPr>
              <w:t>Generate probability and calibrated score</w:t>
            </w:r>
          </w:p>
        </w:tc>
        <w:tc>
          <w:tcPr>
            <w:tcW w:type="dxa" w:w="3384"/>
            <w:vAlign w:val="center"/>
          </w:tcPr>
          <w:p>
            <w:r/>
            <w:r>
              <w:rPr>
                <w:b w:val="0"/>
                <w:sz w:val="17"/>
              </w:rPr>
              <w:t>Score-range and probability sanity checks</w:t>
            </w:r>
          </w:p>
        </w:tc>
      </w:tr>
      <w:tr>
        <w:tc>
          <w:tcPr>
            <w:tcW w:type="dxa" w:w="3384"/>
            <w:vAlign w:val="center"/>
          </w:tcPr>
          <w:p>
            <w:r/>
            <w:r>
              <w:rPr>
                <w:b w:val="0"/>
                <w:sz w:val="17"/>
              </w:rPr>
              <w:t>Decision layer</w:t>
            </w:r>
          </w:p>
        </w:tc>
        <w:tc>
          <w:tcPr>
            <w:tcW w:type="dxa" w:w="3384"/>
            <w:vAlign w:val="center"/>
          </w:tcPr>
          <w:p>
            <w:r/>
            <w:r>
              <w:rPr>
                <w:b w:val="0"/>
                <w:sz w:val="17"/>
              </w:rPr>
              <w:t>Apply approved policy thresholds</w:t>
            </w:r>
          </w:p>
        </w:tc>
        <w:tc>
          <w:tcPr>
            <w:tcW w:type="dxa" w:w="3384"/>
            <w:vAlign w:val="center"/>
          </w:tcPr>
          <w:p>
            <w:r/>
            <w:r>
              <w:rPr>
                <w:b w:val="0"/>
                <w:sz w:val="17"/>
              </w:rPr>
              <w:t>Version-controlled rules and approval governance</w:t>
            </w:r>
          </w:p>
        </w:tc>
      </w:tr>
      <w:tr>
        <w:tc>
          <w:tcPr>
            <w:tcW w:type="dxa" w:w="3384"/>
            <w:vAlign w:val="center"/>
          </w:tcPr>
          <w:p>
            <w:r/>
            <w:r>
              <w:rPr>
                <w:b w:val="0"/>
                <w:sz w:val="17"/>
              </w:rPr>
              <w:t>Monitoring</w:t>
            </w:r>
          </w:p>
        </w:tc>
        <w:tc>
          <w:tcPr>
            <w:tcW w:type="dxa" w:w="3384"/>
            <w:vAlign w:val="center"/>
          </w:tcPr>
          <w:p>
            <w:r/>
            <w:r>
              <w:rPr>
                <w:b w:val="0"/>
                <w:sz w:val="17"/>
              </w:rPr>
              <w:t>Track model/data performance</w:t>
            </w:r>
          </w:p>
        </w:tc>
        <w:tc>
          <w:tcPr>
            <w:tcW w:type="dxa" w:w="3384"/>
            <w:vAlign w:val="center"/>
          </w:tcPr>
          <w:p>
            <w:r/>
            <w:r>
              <w:rPr>
                <w:b w:val="0"/>
                <w:sz w:val="17"/>
              </w:rPr>
              <w:t>Drift, calibration, approval rate, bad-rate monitoring</w:t>
            </w:r>
          </w:p>
        </w:tc>
      </w:tr>
      <w:tr>
        <w:tc>
          <w:tcPr>
            <w:tcW w:type="dxa" w:w="3384"/>
            <w:vAlign w:val="center"/>
          </w:tcPr>
          <w:p>
            <w:r/>
            <w:r>
              <w:rPr>
                <w:b w:val="0"/>
                <w:sz w:val="17"/>
              </w:rPr>
              <w:t>Audit</w:t>
            </w:r>
          </w:p>
        </w:tc>
        <w:tc>
          <w:tcPr>
            <w:tcW w:type="dxa" w:w="3384"/>
            <w:vAlign w:val="center"/>
          </w:tcPr>
          <w:p>
            <w:r/>
            <w:r>
              <w:rPr>
                <w:b w:val="0"/>
                <w:sz w:val="17"/>
              </w:rPr>
              <w:t>Retain decision trace</w:t>
            </w:r>
          </w:p>
        </w:tc>
        <w:tc>
          <w:tcPr>
            <w:tcW w:type="dxa" w:w="3384"/>
            <w:vAlign w:val="center"/>
          </w:tcPr>
          <w:p>
            <w:r/>
            <w:r>
              <w:rPr>
                <w:b w:val="0"/>
                <w:sz w:val="17"/>
              </w:rPr>
              <w:t>Input snapshot, model version, score, threshold and decision reason</w:t>
            </w:r>
          </w:p>
        </w:tc>
      </w:tr>
    </w:tbl>
    <w:p/>
    <w:p>
      <w:pPr>
        <w:pStyle w:val="Heading1"/>
      </w:pPr>
      <w:r>
        <w:t>17. Appendix A — Key Data Dictionary</w:t>
      </w:r>
    </w:p>
    <w:tbl>
      <w:tblPr>
        <w:tblStyle w:val="TableGrid"/>
        <w:tblW w:type="auto" w:w="0"/>
        <w:jc w:val="center"/>
        <w:tblLook w:firstColumn="1" w:firstRow="1" w:lastColumn="0" w:lastRow="0" w:noHBand="0" w:noVBand="1" w:val="04A0"/>
      </w:tblPr>
      <w:tblGrid>
        <w:gridCol w:w="5076"/>
        <w:gridCol w:w="5076"/>
      </w:tblGrid>
      <w:tr>
        <w:trPr>
          <w:tblHeader w:val="true"/>
        </w:trPr>
        <w:tc>
          <w:tcPr>
            <w:tcW w:type="dxa" w:w="5076"/>
            <w:vAlign w:val="center"/>
            <w:shd w:fill="17365D"/>
          </w:tcPr>
          <w:p>
            <w:r/>
            <w:r>
              <w:rPr>
                <w:b/>
                <w:color w:val="FFFFFF"/>
                <w:sz w:val="18"/>
              </w:rPr>
              <w:t>Field</w:t>
            </w:r>
          </w:p>
        </w:tc>
        <w:tc>
          <w:tcPr>
            <w:tcW w:type="dxa" w:w="5076"/>
            <w:vAlign w:val="center"/>
            <w:shd w:fill="17365D"/>
          </w:tcPr>
          <w:p>
            <w:r/>
            <w:r>
              <w:rPr>
                <w:b/>
                <w:color w:val="FFFFFF"/>
                <w:sz w:val="18"/>
              </w:rPr>
              <w:t>Role / description</w:t>
            </w:r>
          </w:p>
        </w:tc>
      </w:tr>
      <w:tr>
        <w:tc>
          <w:tcPr>
            <w:tcW w:type="dxa" w:w="5076"/>
            <w:vAlign w:val="center"/>
          </w:tcPr>
          <w:p>
            <w:r/>
            <w:r>
              <w:rPr>
                <w:b w:val="0"/>
                <w:sz w:val="17"/>
              </w:rPr>
              <w:t>ID</w:t>
            </w:r>
          </w:p>
        </w:tc>
        <w:tc>
          <w:tcPr>
            <w:tcW w:type="dxa" w:w="5076"/>
            <w:vAlign w:val="center"/>
          </w:tcPr>
          <w:p>
            <w:r/>
            <w:r>
              <w:rPr>
                <w:b w:val="0"/>
                <w:sz w:val="17"/>
              </w:rPr>
              <w:t>Applicant identifier used to join application and credit-history data</w:t>
            </w:r>
          </w:p>
        </w:tc>
      </w:tr>
      <w:tr>
        <w:tc>
          <w:tcPr>
            <w:tcW w:type="dxa" w:w="5076"/>
            <w:vAlign w:val="center"/>
          </w:tcPr>
          <w:p>
            <w:r/>
            <w:r>
              <w:rPr>
                <w:b w:val="0"/>
                <w:sz w:val="17"/>
              </w:rPr>
              <w:t>CODE_GENDER</w:t>
            </w:r>
          </w:p>
        </w:tc>
        <w:tc>
          <w:tcPr>
            <w:tcW w:type="dxa" w:w="5076"/>
            <w:vAlign w:val="center"/>
          </w:tcPr>
          <w:p>
            <w:r/>
            <w:r>
              <w:rPr>
                <w:b w:val="0"/>
                <w:sz w:val="17"/>
              </w:rPr>
              <w:t>Applicant gender code</w:t>
            </w:r>
          </w:p>
        </w:tc>
      </w:tr>
      <w:tr>
        <w:tc>
          <w:tcPr>
            <w:tcW w:type="dxa" w:w="5076"/>
            <w:vAlign w:val="center"/>
          </w:tcPr>
          <w:p>
            <w:r/>
            <w:r>
              <w:rPr>
                <w:b w:val="0"/>
                <w:sz w:val="17"/>
              </w:rPr>
              <w:t>FLAG_OWN_CAR</w:t>
            </w:r>
          </w:p>
        </w:tc>
        <w:tc>
          <w:tcPr>
            <w:tcW w:type="dxa" w:w="5076"/>
            <w:vAlign w:val="center"/>
          </w:tcPr>
          <w:p>
            <w:r/>
            <w:r>
              <w:rPr>
                <w:b w:val="0"/>
                <w:sz w:val="17"/>
              </w:rPr>
              <w:t>Indicator for car ownership</w:t>
            </w:r>
          </w:p>
        </w:tc>
      </w:tr>
      <w:tr>
        <w:tc>
          <w:tcPr>
            <w:tcW w:type="dxa" w:w="5076"/>
            <w:vAlign w:val="center"/>
          </w:tcPr>
          <w:p>
            <w:r/>
            <w:r>
              <w:rPr>
                <w:b w:val="0"/>
                <w:sz w:val="17"/>
              </w:rPr>
              <w:t>FLAG_OWN_REALTY</w:t>
            </w:r>
          </w:p>
        </w:tc>
        <w:tc>
          <w:tcPr>
            <w:tcW w:type="dxa" w:w="5076"/>
            <w:vAlign w:val="center"/>
          </w:tcPr>
          <w:p>
            <w:r/>
            <w:r>
              <w:rPr>
                <w:b w:val="0"/>
                <w:sz w:val="17"/>
              </w:rPr>
              <w:t>Indicator for real-estate ownership</w:t>
            </w:r>
          </w:p>
        </w:tc>
      </w:tr>
      <w:tr>
        <w:tc>
          <w:tcPr>
            <w:tcW w:type="dxa" w:w="5076"/>
            <w:vAlign w:val="center"/>
          </w:tcPr>
          <w:p>
            <w:r/>
            <w:r>
              <w:rPr>
                <w:b w:val="0"/>
                <w:sz w:val="17"/>
              </w:rPr>
              <w:t>CNT_CHILDREN</w:t>
            </w:r>
          </w:p>
        </w:tc>
        <w:tc>
          <w:tcPr>
            <w:tcW w:type="dxa" w:w="5076"/>
            <w:vAlign w:val="center"/>
          </w:tcPr>
          <w:p>
            <w:r/>
            <w:r>
              <w:rPr>
                <w:b w:val="0"/>
                <w:sz w:val="17"/>
              </w:rPr>
              <w:t>Number of children</w:t>
            </w:r>
          </w:p>
        </w:tc>
      </w:tr>
      <w:tr>
        <w:tc>
          <w:tcPr>
            <w:tcW w:type="dxa" w:w="5076"/>
            <w:vAlign w:val="center"/>
          </w:tcPr>
          <w:p>
            <w:r/>
            <w:r>
              <w:rPr>
                <w:b w:val="0"/>
                <w:sz w:val="17"/>
              </w:rPr>
              <w:t>AMT_INCOME_TOTAL</w:t>
            </w:r>
          </w:p>
        </w:tc>
        <w:tc>
          <w:tcPr>
            <w:tcW w:type="dxa" w:w="5076"/>
            <w:vAlign w:val="center"/>
          </w:tcPr>
          <w:p>
            <w:r/>
            <w:r>
              <w:rPr>
                <w:b w:val="0"/>
                <w:sz w:val="17"/>
              </w:rPr>
              <w:t>Total income</w:t>
            </w:r>
          </w:p>
        </w:tc>
      </w:tr>
      <w:tr>
        <w:tc>
          <w:tcPr>
            <w:tcW w:type="dxa" w:w="5076"/>
            <w:vAlign w:val="center"/>
          </w:tcPr>
          <w:p>
            <w:r/>
            <w:r>
              <w:rPr>
                <w:b w:val="0"/>
                <w:sz w:val="17"/>
              </w:rPr>
              <w:t>NAME_INCOME_TYPE</w:t>
            </w:r>
          </w:p>
        </w:tc>
        <w:tc>
          <w:tcPr>
            <w:tcW w:type="dxa" w:w="5076"/>
            <w:vAlign w:val="center"/>
          </w:tcPr>
          <w:p>
            <w:r/>
            <w:r>
              <w:rPr>
                <w:b w:val="0"/>
                <w:sz w:val="17"/>
              </w:rPr>
              <w:t>Income/employment category</w:t>
            </w:r>
          </w:p>
        </w:tc>
      </w:tr>
      <w:tr>
        <w:tc>
          <w:tcPr>
            <w:tcW w:type="dxa" w:w="5076"/>
            <w:vAlign w:val="center"/>
          </w:tcPr>
          <w:p>
            <w:r/>
            <w:r>
              <w:rPr>
                <w:b w:val="0"/>
                <w:sz w:val="17"/>
              </w:rPr>
              <w:t>NAME_EDUCATION_TYPE</w:t>
            </w:r>
          </w:p>
        </w:tc>
        <w:tc>
          <w:tcPr>
            <w:tcW w:type="dxa" w:w="5076"/>
            <w:vAlign w:val="center"/>
          </w:tcPr>
          <w:p>
            <w:r/>
            <w:r>
              <w:rPr>
                <w:b w:val="0"/>
                <w:sz w:val="17"/>
              </w:rPr>
              <w:t>Education category</w:t>
            </w:r>
          </w:p>
        </w:tc>
      </w:tr>
      <w:tr>
        <w:tc>
          <w:tcPr>
            <w:tcW w:type="dxa" w:w="5076"/>
            <w:vAlign w:val="center"/>
          </w:tcPr>
          <w:p>
            <w:r/>
            <w:r>
              <w:rPr>
                <w:b w:val="0"/>
                <w:sz w:val="17"/>
              </w:rPr>
              <w:t>NAME_FAMILY_STATUS</w:t>
            </w:r>
          </w:p>
        </w:tc>
        <w:tc>
          <w:tcPr>
            <w:tcW w:type="dxa" w:w="5076"/>
            <w:vAlign w:val="center"/>
          </w:tcPr>
          <w:p>
            <w:r/>
            <w:r>
              <w:rPr>
                <w:b w:val="0"/>
                <w:sz w:val="17"/>
              </w:rPr>
              <w:t>Family-status category</w:t>
            </w:r>
          </w:p>
        </w:tc>
      </w:tr>
      <w:tr>
        <w:tc>
          <w:tcPr>
            <w:tcW w:type="dxa" w:w="5076"/>
            <w:vAlign w:val="center"/>
          </w:tcPr>
          <w:p>
            <w:r/>
            <w:r>
              <w:rPr>
                <w:b w:val="0"/>
                <w:sz w:val="17"/>
              </w:rPr>
              <w:t>NAME_HOUSING_TYPE</w:t>
            </w:r>
          </w:p>
        </w:tc>
        <w:tc>
          <w:tcPr>
            <w:tcW w:type="dxa" w:w="5076"/>
            <w:vAlign w:val="center"/>
          </w:tcPr>
          <w:p>
            <w:r/>
            <w:r>
              <w:rPr>
                <w:b w:val="0"/>
                <w:sz w:val="17"/>
              </w:rPr>
              <w:t>Housing category</w:t>
            </w:r>
          </w:p>
        </w:tc>
      </w:tr>
      <w:tr>
        <w:tc>
          <w:tcPr>
            <w:tcW w:type="dxa" w:w="5076"/>
            <w:vAlign w:val="center"/>
          </w:tcPr>
          <w:p>
            <w:r/>
            <w:r>
              <w:rPr>
                <w:b w:val="0"/>
                <w:sz w:val="17"/>
              </w:rPr>
              <w:t>DAYS_BIRTH</w:t>
            </w:r>
          </w:p>
        </w:tc>
        <w:tc>
          <w:tcPr>
            <w:tcW w:type="dxa" w:w="5076"/>
            <w:vAlign w:val="center"/>
          </w:tcPr>
          <w:p>
            <w:r/>
            <w:r>
              <w:rPr>
                <w:b w:val="0"/>
                <w:sz w:val="17"/>
              </w:rPr>
              <w:t>Age represented in days and stored as a negative value</w:t>
            </w:r>
          </w:p>
        </w:tc>
      </w:tr>
      <w:tr>
        <w:tc>
          <w:tcPr>
            <w:tcW w:type="dxa" w:w="5076"/>
            <w:vAlign w:val="center"/>
          </w:tcPr>
          <w:p>
            <w:r/>
            <w:r>
              <w:rPr>
                <w:b w:val="0"/>
                <w:sz w:val="17"/>
              </w:rPr>
              <w:t>DAYS_EMPLOYED</w:t>
            </w:r>
          </w:p>
        </w:tc>
        <w:tc>
          <w:tcPr>
            <w:tcW w:type="dxa" w:w="5076"/>
            <w:vAlign w:val="center"/>
          </w:tcPr>
          <w:p>
            <w:r/>
            <w:r>
              <w:rPr>
                <w:b w:val="0"/>
                <w:sz w:val="17"/>
              </w:rPr>
              <w:t>Employment duration represented in days; includes a documented anomaly handling step</w:t>
            </w:r>
          </w:p>
        </w:tc>
      </w:tr>
      <w:tr>
        <w:tc>
          <w:tcPr>
            <w:tcW w:type="dxa" w:w="5076"/>
            <w:vAlign w:val="center"/>
          </w:tcPr>
          <w:p>
            <w:r/>
            <w:r>
              <w:rPr>
                <w:b w:val="0"/>
                <w:sz w:val="17"/>
              </w:rPr>
              <w:t>OCCUPATION_TYPE</w:t>
            </w:r>
          </w:p>
        </w:tc>
        <w:tc>
          <w:tcPr>
            <w:tcW w:type="dxa" w:w="5076"/>
            <w:vAlign w:val="center"/>
          </w:tcPr>
          <w:p>
            <w:r/>
            <w:r>
              <w:rPr>
                <w:b w:val="0"/>
                <w:sz w:val="17"/>
              </w:rPr>
              <w:t>Occupation category</w:t>
            </w:r>
          </w:p>
        </w:tc>
      </w:tr>
      <w:tr>
        <w:tc>
          <w:tcPr>
            <w:tcW w:type="dxa" w:w="5076"/>
            <w:vAlign w:val="center"/>
          </w:tcPr>
          <w:p>
            <w:r/>
            <w:r>
              <w:rPr>
                <w:b w:val="0"/>
                <w:sz w:val="17"/>
              </w:rPr>
              <w:t>CNT_FAM_MEMBERS</w:t>
            </w:r>
          </w:p>
        </w:tc>
        <w:tc>
          <w:tcPr>
            <w:tcW w:type="dxa" w:w="5076"/>
            <w:vAlign w:val="center"/>
          </w:tcPr>
          <w:p>
            <w:r/>
            <w:r>
              <w:rPr>
                <w:b w:val="0"/>
                <w:sz w:val="17"/>
              </w:rPr>
              <w:t>Family size</w:t>
            </w:r>
          </w:p>
        </w:tc>
      </w:tr>
      <w:tr>
        <w:tc>
          <w:tcPr>
            <w:tcW w:type="dxa" w:w="5076"/>
            <w:vAlign w:val="center"/>
          </w:tcPr>
          <w:p>
            <w:r/>
            <w:r>
              <w:rPr>
                <w:b w:val="0"/>
                <w:sz w:val="17"/>
              </w:rPr>
              <w:t>MONTHS_BALANCE</w:t>
            </w:r>
          </w:p>
        </w:tc>
        <w:tc>
          <w:tcPr>
            <w:tcW w:type="dxa" w:w="5076"/>
            <w:vAlign w:val="center"/>
          </w:tcPr>
          <w:p>
            <w:r/>
            <w:r>
              <w:rPr>
                <w:b w:val="0"/>
                <w:sz w:val="17"/>
              </w:rPr>
              <w:t>Monthly credit-history reference</w:t>
            </w:r>
          </w:p>
        </w:tc>
      </w:tr>
      <w:tr>
        <w:tc>
          <w:tcPr>
            <w:tcW w:type="dxa" w:w="5076"/>
            <w:vAlign w:val="center"/>
          </w:tcPr>
          <w:p>
            <w:r/>
            <w:r>
              <w:rPr>
                <w:b w:val="0"/>
                <w:sz w:val="17"/>
              </w:rPr>
              <w:t>STATUS</w:t>
            </w:r>
          </w:p>
        </w:tc>
        <w:tc>
          <w:tcPr>
            <w:tcW w:type="dxa" w:w="5076"/>
            <w:vAlign w:val="center"/>
          </w:tcPr>
          <w:p>
            <w:r/>
            <w:r>
              <w:rPr>
                <w:b w:val="0"/>
                <w:sz w:val="17"/>
              </w:rPr>
              <w:t>Monthly credit status</w:t>
            </w:r>
          </w:p>
        </w:tc>
      </w:tr>
      <w:tr>
        <w:tc>
          <w:tcPr>
            <w:tcW w:type="dxa" w:w="5076"/>
            <w:vAlign w:val="center"/>
          </w:tcPr>
          <w:p>
            <w:r/>
            <w:r>
              <w:rPr>
                <w:b w:val="0"/>
                <w:sz w:val="17"/>
              </w:rPr>
              <w:t>IS_BAD_CLIENT</w:t>
            </w:r>
          </w:p>
        </w:tc>
        <w:tc>
          <w:tcPr>
            <w:tcW w:type="dxa" w:w="5076"/>
            <w:vAlign w:val="center"/>
          </w:tcPr>
          <w:p>
            <w:r/>
            <w:r>
              <w:rPr>
                <w:b w:val="0"/>
                <w:sz w:val="17"/>
              </w:rPr>
              <w:t>Applicant-level binary target</w:t>
            </w:r>
          </w:p>
        </w:tc>
      </w:tr>
      <w:tr>
        <w:tc>
          <w:tcPr>
            <w:tcW w:type="dxa" w:w="5076"/>
            <w:vAlign w:val="center"/>
          </w:tcPr>
          <w:p>
            <w:r/>
            <w:r>
              <w:rPr>
                <w:b w:val="0"/>
                <w:sz w:val="17"/>
              </w:rPr>
              <w:t>CREDIT_SCORE</w:t>
            </w:r>
          </w:p>
        </w:tc>
        <w:tc>
          <w:tcPr>
            <w:tcW w:type="dxa" w:w="5076"/>
            <w:vAlign w:val="center"/>
          </w:tcPr>
          <w:p>
            <w:r/>
            <w:r>
              <w:rPr>
                <w:b w:val="0"/>
                <w:sz w:val="17"/>
              </w:rPr>
              <w:t>Initial Logistic Regression bad-client probability</w:t>
            </w:r>
          </w:p>
        </w:tc>
      </w:tr>
      <w:tr>
        <w:tc>
          <w:tcPr>
            <w:tcW w:type="dxa" w:w="5076"/>
            <w:vAlign w:val="center"/>
          </w:tcPr>
          <w:p>
            <w:r/>
            <w:r>
              <w:rPr>
                <w:b w:val="0"/>
                <w:sz w:val="17"/>
              </w:rPr>
              <w:t>CONSOLIDATED_SCORE</w:t>
            </w:r>
          </w:p>
        </w:tc>
        <w:tc>
          <w:tcPr>
            <w:tcW w:type="dxa" w:w="5076"/>
            <w:vAlign w:val="center"/>
          </w:tcPr>
          <w:p>
            <w:r/>
            <w:r>
              <w:rPr>
                <w:b w:val="0"/>
                <w:sz w:val="17"/>
              </w:rPr>
              <w:t>Ensemble-derived FICO-style score</w:t>
            </w:r>
          </w:p>
        </w:tc>
      </w:tr>
      <w:tr>
        <w:tc>
          <w:tcPr>
            <w:tcW w:type="dxa" w:w="5076"/>
            <w:vAlign w:val="center"/>
          </w:tcPr>
          <w:p>
            <w:r/>
            <w:r>
              <w:rPr>
                <w:b w:val="0"/>
                <w:sz w:val="17"/>
              </w:rPr>
              <w:t>AUTOMATED_DECISION</w:t>
            </w:r>
          </w:p>
        </w:tc>
        <w:tc>
          <w:tcPr>
            <w:tcW w:type="dxa" w:w="5076"/>
            <w:vAlign w:val="center"/>
          </w:tcPr>
          <w:p>
            <w:r/>
            <w:r>
              <w:rPr>
                <w:b w:val="0"/>
                <w:sz w:val="17"/>
              </w:rPr>
              <w:t>Score-threshold approval/rejection output</w:t>
            </w:r>
          </w:p>
        </w:tc>
      </w:tr>
    </w:tbl>
    <w:p/>
    <w:p>
      <w:pPr>
        <w:pStyle w:val="Heading1"/>
      </w:pPr>
      <w:r>
        <w:t>18. Appendix B — Reproducibility Notes</w:t>
      </w:r>
    </w:p>
    <w:p>
      <w:pPr>
        <w:pStyle w:val="ListBullet"/>
        <w:spacing w:after="60"/>
      </w:pPr>
      <w:r>
        <w:t>The supplied notebook is the authoritative source for the documented executed results.</w:t>
      </w:r>
    </w:p>
    <w:p>
      <w:pPr>
        <w:pStyle w:val="ListBullet"/>
        <w:spacing w:after="60"/>
      </w:pPr>
      <w:r>
        <w:t>Random-state settings visible in the notebook include random_state=42 for train/test splitting and core classifiers.</w:t>
      </w:r>
    </w:p>
    <w:p>
      <w:pPr>
        <w:pStyle w:val="ListBullet"/>
        <w:spacing w:after="60"/>
      </w:pPr>
      <w:r>
        <w:t>The notebook is written for a Colab-compatible environment and reads the CSV files from /content/sample_data/.</w:t>
      </w:r>
    </w:p>
    <w:p>
      <w:pPr>
        <w:pStyle w:val="ListBullet"/>
        <w:spacing w:after="60"/>
      </w:pPr>
      <w:r>
        <w:t>Some cells were re-executed to recover tuning objects after an interrupted tuning execution.</w:t>
      </w:r>
    </w:p>
    <w:p>
      <w:pPr>
        <w:pStyle w:val="ListBullet"/>
        <w:spacing w:after="60"/>
      </w:pPr>
      <w:r>
        <w:t>Warnings shown in the notebook, including a pandas chained-assignment FutureWarning, are retained as implementation observations rather than silently corrected in this documentation.</w:t>
      </w:r>
    </w:p>
    <w:p>
      <w:pPr>
        <w:pStyle w:val="Heading1"/>
      </w:pPr>
      <w:r>
        <w:t>19. Conclusion</w:t>
      </w:r>
    </w:p>
    <w:p>
      <w:r>
        <w:t>The project establishes a complete prototype credit-risk analytics workflow from raw applicant and credit-history data through target creation, feature engineering, machine-learning prediction, score calibration and automated decisioning. The documented results demonstrate that the implemented models can generate risk probabilities and a consolidated score, but the current performance and decision distribution require further calibration and validation before operational deployment. The most important next technical step is to reconcile the probability-to-score transformation and approval threshold with the intended business interpretation, while strengthening validation around class imbalance, temporal behavior, probability calibration and decision costs.</w:t>
      </w:r>
    </w:p>
    <w:p>
      <w:r>
        <w:br w:type="page"/>
      </w:r>
    </w:p>
    <w:p>
      <w:pPr>
        <w:jc w:val="center"/>
      </w:pPr>
      <w:r>
        <w:rPr>
          <w:b/>
          <w:color w:val="17365D"/>
          <w:sz w:val="28"/>
        </w:rPr>
        <w:t>END OF TECHNICAL DOCUMENT</w:t>
      </w:r>
    </w:p>
    <w:p>
      <w:pPr>
        <w:jc w:val="center"/>
      </w:pPr>
      <w:r>
        <w:rPr>
          <w:i/>
        </w:rPr>
        <w:t>Prepared from the supplied project_cc_approval.ipynb notebook</w:t>
      </w:r>
    </w:p>
    <w:sectPr w:rsidR="00FC693F" w:rsidRPr="0006063C" w:rsidSect="00034616">
      <w:headerReference w:type="default" r:id="rId9"/>
      <w:footerReference w:type="default" r:id="rId10"/>
      <w:pgSz w:w="12240" w:h="15840"/>
      <w:pgMar w:top="1008" w:right="1008"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Project Documentation  •  Source: project_cc_approval.ipynb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6464"/>
        <w:sz w:val="16"/>
      </w:rPr>
      <w:t>CREDIT RISK SCORING &amp; AUTOMATED APPROVAL | TECHNICAL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B9BD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