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9A227"/>
          <w:sz w:val="22"/>
        </w:rPr>
        <w:t>PROJECT REPORT</w:t>
      </w:r>
    </w:p>
    <w:p>
      <w:pPr>
        <w:jc w:val="center"/>
      </w:pPr>
      <w:r>
        <w:rPr>
          <w:b/>
          <w:color w:val="17365D"/>
          <w:sz w:val="52"/>
        </w:rPr>
        <w:t>Electric Vehicle Dataset</w:t>
        <w:br/>
        <w:t>Analytics &amp; Machine Learning Study</w:t>
      </w:r>
    </w:p>
    <w:p>
      <w:pPr>
        <w:jc w:val="center"/>
      </w:pPr>
      <w:r>
        <w:rPr>
          <w:color w:val="2F75B5"/>
          <w:sz w:val="24"/>
        </w:rPr>
        <w:t>Exploratory Data Analysis • Clustering • PCA • Random Forest Classification</w:t>
      </w:r>
    </w:p>
    <w:p/>
    <w:tbl>
      <w:tblPr>
        <w:tblW w:type="auto" w:w="0"/>
        <w:jc w:val="center"/>
        <w:tblLook w:firstColumn="1" w:firstRow="1" w:lastColumn="0" w:lastRow="0" w:noHBand="0" w:noVBand="1" w:val="04A0"/>
      </w:tblPr>
      <w:tblGrid>
        <w:gridCol w:w="2556"/>
        <w:gridCol w:w="2556"/>
        <w:gridCol w:w="2556"/>
        <w:gridCol w:w="2556"/>
      </w:tblGrid>
      <w:tr>
        <w:tc>
          <w:tcPr>
            <w:tcW w:type="dxa" w:w="2556"/>
            <w:shd w:fill="EAF2F8"/>
          </w:tcPr>
          <w:p>
            <w:pPr>
              <w:jc w:val="center"/>
            </w:pPr>
            <w:r>
              <w:rPr>
                <w:b/>
                <w:color w:val="17365D"/>
                <w:sz w:val="36"/>
              </w:rPr>
              <w:t>9,998</w:t>
            </w:r>
            <w:r>
              <w:rPr>
                <w:color w:val="666666"/>
                <w:sz w:val="16"/>
              </w:rPr>
              <w:br/>
              <w:t>Records analysed</w:t>
            </w:r>
          </w:p>
        </w:tc>
        <w:tc>
          <w:tcPr>
            <w:tcW w:type="dxa" w:w="2556"/>
            <w:shd w:fill="EAF2F8"/>
          </w:tcPr>
          <w:p>
            <w:pPr>
              <w:jc w:val="center"/>
            </w:pPr>
            <w:r>
              <w:rPr>
                <w:b/>
                <w:color w:val="17365D"/>
                <w:sz w:val="36"/>
              </w:rPr>
              <w:t>3</w:t>
            </w:r>
            <w:r>
              <w:rPr>
                <w:color w:val="666666"/>
                <w:sz w:val="16"/>
              </w:rPr>
              <w:br/>
              <w:t>K-Means clusters</w:t>
            </w:r>
          </w:p>
        </w:tc>
        <w:tc>
          <w:tcPr>
            <w:tcW w:type="dxa" w:w="2556"/>
            <w:shd w:fill="EAF2F8"/>
          </w:tcPr>
          <w:p>
            <w:pPr>
              <w:jc w:val="center"/>
            </w:pPr>
            <w:r>
              <w:rPr>
                <w:b/>
                <w:color w:val="17365D"/>
                <w:sz w:val="36"/>
              </w:rPr>
              <w:t>0.5052</w:t>
            </w:r>
            <w:r>
              <w:rPr>
                <w:color w:val="666666"/>
                <w:sz w:val="16"/>
              </w:rPr>
              <w:br/>
              <w:t>Silhouette score</w:t>
            </w:r>
          </w:p>
        </w:tc>
        <w:tc>
          <w:tcPr>
            <w:tcW w:type="dxa" w:w="2556"/>
            <w:shd w:fill="EAF2F8"/>
          </w:tcPr>
          <w:p>
            <w:pPr>
              <w:jc w:val="center"/>
            </w:pPr>
            <w:r>
              <w:rPr>
                <w:b/>
                <w:color w:val="17365D"/>
                <w:sz w:val="36"/>
              </w:rPr>
              <w:t>99.85%</w:t>
            </w:r>
            <w:r>
              <w:rPr>
                <w:color w:val="666666"/>
                <w:sz w:val="16"/>
              </w:rPr>
              <w:br/>
              <w:t>RF CV accuracy</w:t>
            </w:r>
          </w:p>
        </w:tc>
      </w:tr>
    </w:tbl>
    <w:p/>
    <w:p>
      <w:pPr>
        <w:jc w:val="center"/>
      </w:pPr>
      <w:r>
        <w:rPr>
          <w:color w:val="666666"/>
          <w:sz w:val="20"/>
        </w:rPr>
        <w:br/>
        <w:t>Prepared from: EVdataset_small.ipynb</w:t>
      </w:r>
    </w:p>
    <w:p>
      <w:pPr>
        <w:jc w:val="center"/>
      </w:pPr>
      <w:r>
        <w:rPr>
          <w:i/>
          <w:color w:val="666666"/>
          <w:sz w:val="18"/>
        </w:rPr>
        <w:t>Professional Project Documentation</w:t>
      </w:r>
    </w:p>
    <w:p>
      <w:r>
        <w:br w:type="page"/>
      </w:r>
    </w:p>
    <w:p>
      <w:pPr>
        <w:pStyle w:val="Heading1"/>
        <w:spacing w:before="200" w:after="100"/>
      </w:pPr>
      <w:r>
        <w:t>Contents</w:t>
      </w:r>
    </w:p>
    <w:p>
      <w:pPr>
        <w:pStyle w:val="ListBullet"/>
        <w:spacing w:after="40"/>
      </w:pPr>
      <w:r>
        <w:t>1. Executive Summary</w:t>
      </w:r>
    </w:p>
    <w:p>
      <w:pPr>
        <w:pStyle w:val="ListBullet"/>
        <w:spacing w:after="40"/>
      </w:pPr>
      <w:r>
        <w:t>2. Project Overview &amp; Objectives</w:t>
      </w:r>
    </w:p>
    <w:p>
      <w:pPr>
        <w:pStyle w:val="ListBullet"/>
        <w:spacing w:after="40"/>
      </w:pPr>
      <w:r>
        <w:t>3. Dataset Overview</w:t>
      </w:r>
    </w:p>
    <w:p>
      <w:pPr>
        <w:pStyle w:val="ListBullet"/>
        <w:spacing w:after="40"/>
      </w:pPr>
      <w:r>
        <w:t>4. Analytical Methodology</w:t>
      </w:r>
    </w:p>
    <w:p>
      <w:pPr>
        <w:pStyle w:val="ListBullet"/>
        <w:spacing w:after="40"/>
      </w:pPr>
      <w:r>
        <w:t>5. Exploratory Data Analysis</w:t>
      </w:r>
    </w:p>
    <w:p>
      <w:pPr>
        <w:pStyle w:val="ListBullet"/>
        <w:spacing w:after="40"/>
      </w:pPr>
      <w:r>
        <w:t>6. Unsupervised Learning – K-Means</w:t>
      </w:r>
    </w:p>
    <w:p>
      <w:pPr>
        <w:pStyle w:val="ListBullet"/>
        <w:spacing w:after="40"/>
      </w:pPr>
      <w:r>
        <w:t>7. Hierarchical Clustering</w:t>
      </w:r>
    </w:p>
    <w:p>
      <w:pPr>
        <w:pStyle w:val="ListBullet"/>
        <w:spacing w:after="40"/>
      </w:pPr>
      <w:r>
        <w:t>8. Supervised Learning – Random Forest</w:t>
      </w:r>
    </w:p>
    <w:p>
      <w:pPr>
        <w:pStyle w:val="ListBullet"/>
        <w:spacing w:after="40"/>
      </w:pPr>
      <w:r>
        <w:t>9. Principal Component Analysis (PCA)</w:t>
      </w:r>
    </w:p>
    <w:p>
      <w:pPr>
        <w:pStyle w:val="ListBullet"/>
        <w:spacing w:after="40"/>
      </w:pPr>
      <w:r>
        <w:t>10. Integrated Findings</w:t>
      </w:r>
    </w:p>
    <w:p>
      <w:pPr>
        <w:pStyle w:val="ListBullet"/>
        <w:spacing w:after="40"/>
      </w:pPr>
      <w:r>
        <w:t>11. Conclusion</w:t>
      </w:r>
    </w:p>
    <w:p>
      <w:pPr>
        <w:pStyle w:val="ListBullet"/>
        <w:spacing w:after="40"/>
      </w:pPr>
      <w:r>
        <w:t>12. Limitations &amp; Recommended Next Steps</w:t>
      </w:r>
    </w:p>
    <w:p>
      <w:pPr>
        <w:pStyle w:val="ListBullet"/>
        <w:spacing w:after="40"/>
      </w:pPr>
      <w:r>
        <w:t>Appendix A – Key Results</w:t>
      </w:r>
    </w:p>
    <w:p>
      <w:r>
        <w:br w:type="page"/>
      </w:r>
    </w:p>
    <w:p>
      <w:pPr>
        <w:pStyle w:val="Heading1"/>
        <w:spacing w:before="200" w:after="100"/>
      </w:pPr>
      <w:r>
        <w:t>1. Executive Summary</w:t>
      </w:r>
    </w:p>
    <w:p>
      <w:r>
        <w:t>This project analyses an electric-vehicle dataset using a combination of exploratory analytics, unsupervised machine learning, dimensionality reduction, and supervised classification. The notebook uses 9,998 records and examines vehicle characteristics such as model year, make, electric range, MSRP, EV type, CAFV status, geography, and related identifiers.</w:t>
      </w:r>
    </w:p>
    <w:p>
      <w:r>
        <w:t>The analytical workflow moves from descriptive exploration to segmentation and prediction. K-Means clustering is used with three clusters, hierarchical clustering is used as a comparison approach, Random Forest is used to predict EV type, and PCA is applied to the numerical variables before a second Random Forest evaluation.</w:t>
      </w:r>
    </w:p>
    <w:p>
      <w:r>
        <w:t>Key recorded results include a K-Means silhouette score of 0.5052, cluster-to-EV-type alignment of 78.31%, mean five-fold Random Forest cross-validation accuracy of 0.9985 using the prepared full feature pipeline, and 0.9812 after using seven PCA components.</w:t>
      </w:r>
    </w:p>
    <w:p>
      <w:pPr>
        <w:pStyle w:val="Heading2"/>
        <w:spacing w:before="200" w:after="100"/>
      </w:pPr>
      <w:r>
        <w:t>Project Highlights</w:t>
      </w:r>
    </w:p>
    <w:p>
      <w:pPr>
        <w:pStyle w:val="ListBullet"/>
        <w:spacing w:after="40"/>
      </w:pPr>
      <w:r>
        <w:t>Dataset size: 9,998 records.</w:t>
      </w:r>
    </w:p>
    <w:p>
      <w:pPr>
        <w:pStyle w:val="ListBullet"/>
        <w:spacing w:after="40"/>
      </w:pPr>
      <w:r>
        <w:t>PCA input: 7 numerical features; 7 components were retained to reach at least 95% explained variance.</w:t>
      </w:r>
    </w:p>
    <w:p>
      <w:pPr>
        <w:pStyle w:val="ListBullet"/>
        <w:spacing w:after="40"/>
      </w:pPr>
      <w:r>
        <w:t>K-Means solution: k = 3.</w:t>
      </w:r>
    </w:p>
    <w:p>
      <w:pPr>
        <w:pStyle w:val="ListBullet"/>
        <w:spacing w:after="40"/>
      </w:pPr>
      <w:r>
        <w:t>K-Means silhouette score: 0.5052.</w:t>
      </w:r>
    </w:p>
    <w:p>
      <w:pPr>
        <w:pStyle w:val="ListBullet"/>
        <w:spacing w:after="40"/>
      </w:pPr>
      <w:r>
        <w:t>Cluster alignment accuracy against the recorded EV Type labels: 78.31%.</w:t>
      </w:r>
    </w:p>
    <w:p>
      <w:pPr>
        <w:pStyle w:val="ListBullet"/>
        <w:spacing w:after="40"/>
      </w:pPr>
      <w:r>
        <w:t>Random Forest mean five-fold CV accuracy: 99.85% (standard deviation 0.0005).</w:t>
      </w:r>
    </w:p>
    <w:p>
      <w:pPr>
        <w:pStyle w:val="ListBullet"/>
        <w:spacing w:after="40"/>
      </w:pPr>
      <w:r>
        <w:t>Random Forest with seven PCA components: mean five-fold CV accuracy 98.12% (standard deviation 0.0016).</w:t>
      </w:r>
    </w:p>
    <w:p>
      <w:pPr>
        <w:pStyle w:val="Heading1"/>
        <w:spacing w:before="200" w:after="100"/>
      </w:pPr>
      <w:r>
        <w:t>2. Project Overview &amp; Objectives</w:t>
      </w:r>
    </w:p>
    <w:p>
      <w:r>
        <w:t>The project is structured as an end-to-end analytical study of electric-vehicle records. The objective is not only to describe the dataset, but also to identify natural vehicle groupings, understand the relationship between clusters and EV type, assess predictive capability, and examine whether dimensionality reduction changes classification performance.</w:t>
      </w:r>
    </w:p>
    <w:p>
      <w:pPr>
        <w:pStyle w:val="Heading2"/>
        <w:spacing w:before="200" w:after="100"/>
      </w:pPr>
      <w:r>
        <w:t>Objectives</w:t>
      </w:r>
    </w:p>
    <w:p>
      <w:pPr>
        <w:pStyle w:val="ListBullet"/>
        <w:spacing w:after="40"/>
      </w:pPr>
      <w:r>
        <w:t>Understand the composition and distributions of the EV dataset.</w:t>
      </w:r>
    </w:p>
    <w:p>
      <w:pPr>
        <w:pStyle w:val="ListBullet"/>
        <w:spacing w:after="40"/>
      </w:pPr>
      <w:r>
        <w:t>Explore relationships among numerical variables through correlation analysis.</w:t>
      </w:r>
    </w:p>
    <w:p>
      <w:pPr>
        <w:pStyle w:val="ListBullet"/>
        <w:spacing w:after="40"/>
      </w:pPr>
      <w:r>
        <w:t>Identify natural vehicle segments using K-Means clustering.</w:t>
      </w:r>
    </w:p>
    <w:p>
      <w:pPr>
        <w:pStyle w:val="ListBullet"/>
        <w:spacing w:after="40"/>
      </w:pPr>
      <w:r>
        <w:t>Compare K-Means results with hierarchical clustering.</w:t>
      </w:r>
    </w:p>
    <w:p>
      <w:pPr>
        <w:pStyle w:val="ListBullet"/>
        <w:spacing w:after="40"/>
      </w:pPr>
      <w:r>
        <w:t>Evaluate cluster quality using silhouette analysis.</w:t>
      </w:r>
    </w:p>
    <w:p>
      <w:pPr>
        <w:pStyle w:val="ListBullet"/>
        <w:spacing w:after="40"/>
      </w:pPr>
      <w:r>
        <w:t>Characterize clusters using average numerical profiles and leading makes.</w:t>
      </w:r>
    </w:p>
    <w:p>
      <w:pPr>
        <w:pStyle w:val="ListBullet"/>
        <w:spacing w:after="40"/>
      </w:pPr>
      <w:r>
        <w:t>Predict EV Type using a Random Forest classifier with cross-validation.</w:t>
      </w:r>
    </w:p>
    <w:p>
      <w:pPr>
        <w:pStyle w:val="ListBullet"/>
        <w:spacing w:after="40"/>
      </w:pPr>
      <w:r>
        <w:t>Identify the most influential features used by the Random Forest model.</w:t>
      </w:r>
    </w:p>
    <w:p>
      <w:pPr>
        <w:pStyle w:val="ListBullet"/>
        <w:spacing w:after="40"/>
      </w:pPr>
      <w:r>
        <w:t>Apply PCA to numerical variables and evaluate classification using PCA-transformed features.</w:t>
      </w:r>
    </w:p>
    <w:p>
      <w:pPr>
        <w:pStyle w:val="Heading1"/>
        <w:spacing w:before="200" w:after="100"/>
      </w:pPr>
      <w:r>
        <w:t>3. Dataset Overview</w:t>
      </w:r>
    </w:p>
    <w:p>
      <w:r>
        <w:t>The notebook loads an EV dataset and displays fields covering vehicle identity, geography, model information, EV classification, clean-fuel status, electric range, MSRP, legislative information, utility, and census tract information.</w:t>
      </w:r>
    </w:p>
    <w:tbl>
      <w:tblPr>
        <w:tblStyle w:val="TableGrid"/>
        <w:tblW w:type="auto" w:w="0"/>
        <w:jc w:val="center"/>
        <w:tblLook w:firstColumn="1" w:firstRow="1" w:lastColumn="0" w:lastRow="0" w:noHBand="0" w:noVBand="1" w:val="04A0"/>
      </w:tblPr>
      <w:tblGrid>
        <w:gridCol w:w="3408"/>
        <w:gridCol w:w="3408"/>
        <w:gridCol w:w="3408"/>
      </w:tblGrid>
      <w:tr>
        <w:tc>
          <w:tcPr>
            <w:tcW w:type="dxa" w:w="2088"/>
            <w:vAlign w:val="center"/>
            <w:shd w:fill="17365D"/>
          </w:tcPr>
          <w:p>
            <w:pPr>
              <w:jc w:val="left"/>
            </w:pPr>
            <w:r/>
            <w:r>
              <w:rPr>
                <w:b/>
                <w:color w:val="FFFFFF"/>
                <w:sz w:val="18"/>
              </w:rPr>
              <w:t>Field / Group</w:t>
            </w:r>
          </w:p>
        </w:tc>
        <w:tc>
          <w:tcPr>
            <w:tcW w:type="dxa" w:w="3096"/>
            <w:vAlign w:val="center"/>
            <w:shd w:fill="17365D"/>
          </w:tcPr>
          <w:p>
            <w:pPr>
              <w:jc w:val="left"/>
            </w:pPr>
            <w:r/>
            <w:r>
              <w:rPr>
                <w:b/>
                <w:color w:val="FFFFFF"/>
                <w:sz w:val="18"/>
              </w:rPr>
              <w:t>Examples from notebook</w:t>
            </w:r>
          </w:p>
        </w:tc>
        <w:tc>
          <w:tcPr>
            <w:tcW w:type="dxa" w:w="3528"/>
            <w:vAlign w:val="center"/>
            <w:shd w:fill="17365D"/>
          </w:tcPr>
          <w:p>
            <w:pPr>
              <w:jc w:val="left"/>
            </w:pPr>
            <w:r/>
            <w:r>
              <w:rPr>
                <w:b/>
                <w:color w:val="FFFFFF"/>
                <w:sz w:val="18"/>
              </w:rPr>
              <w:t>Role in analysis</w:t>
            </w:r>
          </w:p>
        </w:tc>
      </w:tr>
      <w:tr>
        <w:tc>
          <w:tcPr>
            <w:tcW w:type="dxa" w:w="2088"/>
            <w:vAlign w:val="center"/>
          </w:tcPr>
          <w:p>
            <w:pPr>
              <w:jc w:val="left"/>
            </w:pPr>
            <w:r/>
            <w:r>
              <w:rPr>
                <w:b w:val="0"/>
                <w:color w:val="243447"/>
                <w:sz w:val="17"/>
              </w:rPr>
              <w:t>Vehicle identifiers</w:t>
            </w:r>
          </w:p>
        </w:tc>
        <w:tc>
          <w:tcPr>
            <w:tcW w:type="dxa" w:w="3096"/>
            <w:vAlign w:val="center"/>
          </w:tcPr>
          <w:p>
            <w:pPr>
              <w:jc w:val="left"/>
            </w:pPr>
            <w:r/>
            <w:r>
              <w:rPr>
                <w:b w:val="0"/>
                <w:color w:val="243447"/>
                <w:sz w:val="17"/>
              </w:rPr>
              <w:t>VIN (1-10), DOL Vehicle ID</w:t>
            </w:r>
          </w:p>
        </w:tc>
        <w:tc>
          <w:tcPr>
            <w:tcW w:type="dxa" w:w="3528"/>
            <w:vAlign w:val="center"/>
          </w:tcPr>
          <w:p>
            <w:pPr>
              <w:jc w:val="left"/>
            </w:pPr>
            <w:r/>
            <w:r>
              <w:rPr>
                <w:b w:val="0"/>
                <w:color w:val="243447"/>
                <w:sz w:val="17"/>
              </w:rPr>
              <w:t>Identifiers; some are excluded from classification</w:t>
            </w:r>
          </w:p>
        </w:tc>
      </w:tr>
      <w:tr>
        <w:tc>
          <w:tcPr>
            <w:tcW w:type="dxa" w:w="2088"/>
            <w:vAlign w:val="center"/>
          </w:tcPr>
          <w:p>
            <w:pPr>
              <w:jc w:val="left"/>
            </w:pPr>
            <w:r/>
            <w:r>
              <w:rPr>
                <w:b w:val="0"/>
                <w:color w:val="243447"/>
                <w:sz w:val="17"/>
              </w:rPr>
              <w:t>Geography</w:t>
            </w:r>
          </w:p>
        </w:tc>
        <w:tc>
          <w:tcPr>
            <w:tcW w:type="dxa" w:w="3096"/>
            <w:vAlign w:val="center"/>
          </w:tcPr>
          <w:p>
            <w:pPr>
              <w:jc w:val="left"/>
            </w:pPr>
            <w:r/>
            <w:r>
              <w:rPr>
                <w:b w:val="0"/>
                <w:color w:val="243447"/>
                <w:sz w:val="17"/>
              </w:rPr>
              <w:t>County, City, State, Postal Code</w:t>
            </w:r>
          </w:p>
        </w:tc>
        <w:tc>
          <w:tcPr>
            <w:tcW w:type="dxa" w:w="3528"/>
            <w:vAlign w:val="center"/>
          </w:tcPr>
          <w:p>
            <w:pPr>
              <w:jc w:val="left"/>
            </w:pPr>
            <w:r/>
            <w:r>
              <w:rPr>
                <w:b w:val="0"/>
                <w:color w:val="243447"/>
                <w:sz w:val="17"/>
              </w:rPr>
              <w:t>Descriptive / categorical context</w:t>
            </w:r>
          </w:p>
        </w:tc>
      </w:tr>
      <w:tr>
        <w:tc>
          <w:tcPr>
            <w:tcW w:type="dxa" w:w="2088"/>
            <w:vAlign w:val="center"/>
          </w:tcPr>
          <w:p>
            <w:pPr>
              <w:jc w:val="left"/>
            </w:pPr>
            <w:r/>
            <w:r>
              <w:rPr>
                <w:b w:val="0"/>
                <w:color w:val="243447"/>
                <w:sz w:val="17"/>
              </w:rPr>
              <w:t>Vehicle attributes</w:t>
            </w:r>
          </w:p>
        </w:tc>
        <w:tc>
          <w:tcPr>
            <w:tcW w:type="dxa" w:w="3096"/>
            <w:vAlign w:val="center"/>
          </w:tcPr>
          <w:p>
            <w:pPr>
              <w:jc w:val="left"/>
            </w:pPr>
            <w:r/>
            <w:r>
              <w:rPr>
                <w:b w:val="0"/>
                <w:color w:val="243447"/>
                <w:sz w:val="17"/>
              </w:rPr>
              <w:t>Model Year, Make, Model</w:t>
            </w:r>
          </w:p>
        </w:tc>
        <w:tc>
          <w:tcPr>
            <w:tcW w:type="dxa" w:w="3528"/>
            <w:vAlign w:val="center"/>
          </w:tcPr>
          <w:p>
            <w:pPr>
              <w:jc w:val="left"/>
            </w:pPr>
            <w:r/>
            <w:r>
              <w:rPr>
                <w:b w:val="0"/>
                <w:color w:val="243447"/>
                <w:sz w:val="17"/>
              </w:rPr>
              <w:t>Core explanatory variables</w:t>
            </w:r>
          </w:p>
        </w:tc>
      </w:tr>
      <w:tr>
        <w:tc>
          <w:tcPr>
            <w:tcW w:type="dxa" w:w="2088"/>
            <w:vAlign w:val="center"/>
          </w:tcPr>
          <w:p>
            <w:pPr>
              <w:jc w:val="left"/>
            </w:pPr>
            <w:r/>
            <w:r>
              <w:rPr>
                <w:b w:val="0"/>
                <w:color w:val="243447"/>
                <w:sz w:val="17"/>
              </w:rPr>
              <w:t>EV classification</w:t>
            </w:r>
          </w:p>
        </w:tc>
        <w:tc>
          <w:tcPr>
            <w:tcW w:type="dxa" w:w="3096"/>
            <w:vAlign w:val="center"/>
          </w:tcPr>
          <w:p>
            <w:pPr>
              <w:jc w:val="left"/>
            </w:pPr>
            <w:r/>
            <w:r>
              <w:rPr>
                <w:b w:val="0"/>
                <w:color w:val="243447"/>
                <w:sz w:val="17"/>
              </w:rPr>
              <w:t>EV Type</w:t>
            </w:r>
          </w:p>
        </w:tc>
        <w:tc>
          <w:tcPr>
            <w:tcW w:type="dxa" w:w="3528"/>
            <w:vAlign w:val="center"/>
          </w:tcPr>
          <w:p>
            <w:pPr>
              <w:jc w:val="left"/>
            </w:pPr>
            <w:r/>
            <w:r>
              <w:rPr>
                <w:b w:val="0"/>
                <w:color w:val="243447"/>
                <w:sz w:val="17"/>
              </w:rPr>
              <w:t>Target / comparison label</w:t>
            </w:r>
          </w:p>
        </w:tc>
      </w:tr>
      <w:tr>
        <w:tc>
          <w:tcPr>
            <w:tcW w:type="dxa" w:w="2088"/>
            <w:vAlign w:val="center"/>
          </w:tcPr>
          <w:p>
            <w:pPr>
              <w:jc w:val="left"/>
            </w:pPr>
            <w:r/>
            <w:r>
              <w:rPr>
                <w:b w:val="0"/>
                <w:color w:val="243447"/>
                <w:sz w:val="17"/>
              </w:rPr>
              <w:t>Clean-fuel status</w:t>
            </w:r>
          </w:p>
        </w:tc>
        <w:tc>
          <w:tcPr>
            <w:tcW w:type="dxa" w:w="3096"/>
            <w:vAlign w:val="center"/>
          </w:tcPr>
          <w:p>
            <w:pPr>
              <w:jc w:val="left"/>
            </w:pPr>
            <w:r/>
            <w:r>
              <w:rPr>
                <w:b w:val="0"/>
                <w:color w:val="243447"/>
                <w:sz w:val="17"/>
              </w:rPr>
              <w:t>CAFV</w:t>
            </w:r>
          </w:p>
        </w:tc>
        <w:tc>
          <w:tcPr>
            <w:tcW w:type="dxa" w:w="3528"/>
            <w:vAlign w:val="center"/>
          </w:tcPr>
          <w:p>
            <w:pPr>
              <w:jc w:val="left"/>
            </w:pPr>
            <w:r/>
            <w:r>
              <w:rPr>
                <w:b w:val="0"/>
                <w:color w:val="243447"/>
                <w:sz w:val="17"/>
              </w:rPr>
              <w:t>Categorical predictor</w:t>
            </w:r>
          </w:p>
        </w:tc>
      </w:tr>
      <w:tr>
        <w:tc>
          <w:tcPr>
            <w:tcW w:type="dxa" w:w="2088"/>
            <w:vAlign w:val="center"/>
          </w:tcPr>
          <w:p>
            <w:pPr>
              <w:jc w:val="left"/>
            </w:pPr>
            <w:r/>
            <w:r>
              <w:rPr>
                <w:b w:val="0"/>
                <w:color w:val="243447"/>
                <w:sz w:val="17"/>
              </w:rPr>
              <w:t>Performance</w:t>
            </w:r>
          </w:p>
        </w:tc>
        <w:tc>
          <w:tcPr>
            <w:tcW w:type="dxa" w:w="3096"/>
            <w:vAlign w:val="center"/>
          </w:tcPr>
          <w:p>
            <w:pPr>
              <w:jc w:val="left"/>
            </w:pPr>
            <w:r/>
            <w:r>
              <w:rPr>
                <w:b w:val="0"/>
                <w:color w:val="243447"/>
                <w:sz w:val="17"/>
              </w:rPr>
              <w:t>Electric Range</w:t>
            </w:r>
          </w:p>
        </w:tc>
        <w:tc>
          <w:tcPr>
            <w:tcW w:type="dxa" w:w="3528"/>
            <w:vAlign w:val="center"/>
          </w:tcPr>
          <w:p>
            <w:pPr>
              <w:jc w:val="left"/>
            </w:pPr>
            <w:r/>
            <w:r>
              <w:rPr>
                <w:b w:val="0"/>
                <w:color w:val="243447"/>
                <w:sz w:val="17"/>
              </w:rPr>
              <w:t>Numerical predictor; highest RF importance</w:t>
            </w:r>
          </w:p>
        </w:tc>
      </w:tr>
      <w:tr>
        <w:tc>
          <w:tcPr>
            <w:tcW w:type="dxa" w:w="2088"/>
            <w:vAlign w:val="center"/>
          </w:tcPr>
          <w:p>
            <w:pPr>
              <w:jc w:val="left"/>
            </w:pPr>
            <w:r/>
            <w:r>
              <w:rPr>
                <w:b w:val="0"/>
                <w:color w:val="243447"/>
                <w:sz w:val="17"/>
              </w:rPr>
              <w:t>Pricing</w:t>
            </w:r>
          </w:p>
        </w:tc>
        <w:tc>
          <w:tcPr>
            <w:tcW w:type="dxa" w:w="3096"/>
            <w:vAlign w:val="center"/>
          </w:tcPr>
          <w:p>
            <w:pPr>
              <w:jc w:val="left"/>
            </w:pPr>
            <w:r/>
            <w:r>
              <w:rPr>
                <w:b w:val="0"/>
                <w:color w:val="243447"/>
                <w:sz w:val="17"/>
              </w:rPr>
              <w:t>Base MSRP</w:t>
            </w:r>
          </w:p>
        </w:tc>
        <w:tc>
          <w:tcPr>
            <w:tcW w:type="dxa" w:w="3528"/>
            <w:vAlign w:val="center"/>
          </w:tcPr>
          <w:p>
            <w:pPr>
              <w:jc w:val="left"/>
            </w:pPr>
            <w:r/>
            <w:r>
              <w:rPr>
                <w:b w:val="0"/>
                <w:color w:val="243447"/>
                <w:sz w:val="17"/>
              </w:rPr>
              <w:t>Numerical variable used in clustering/PCA</w:t>
            </w:r>
          </w:p>
        </w:tc>
      </w:tr>
      <w:tr>
        <w:tc>
          <w:tcPr>
            <w:tcW w:type="dxa" w:w="2088"/>
            <w:vAlign w:val="center"/>
          </w:tcPr>
          <w:p>
            <w:pPr>
              <w:jc w:val="left"/>
            </w:pPr>
            <w:r/>
            <w:r>
              <w:rPr>
                <w:b w:val="0"/>
                <w:color w:val="243447"/>
                <w:sz w:val="17"/>
              </w:rPr>
              <w:t>Policy / geography</w:t>
            </w:r>
          </w:p>
        </w:tc>
        <w:tc>
          <w:tcPr>
            <w:tcW w:type="dxa" w:w="3096"/>
            <w:vAlign w:val="center"/>
          </w:tcPr>
          <w:p>
            <w:pPr>
              <w:jc w:val="left"/>
            </w:pPr>
            <w:r/>
            <w:r>
              <w:rPr>
                <w:b w:val="0"/>
                <w:color w:val="243447"/>
                <w:sz w:val="17"/>
              </w:rPr>
              <w:t>Legislative District, Census Tract</w:t>
            </w:r>
          </w:p>
        </w:tc>
        <w:tc>
          <w:tcPr>
            <w:tcW w:type="dxa" w:w="3528"/>
            <w:vAlign w:val="center"/>
          </w:tcPr>
          <w:p>
            <w:pPr>
              <w:jc w:val="left"/>
            </w:pPr>
            <w:r/>
            <w:r>
              <w:rPr>
                <w:b w:val="0"/>
                <w:color w:val="243447"/>
                <w:sz w:val="17"/>
              </w:rPr>
              <w:t>Contextual numerical/categorical variables</w:t>
            </w:r>
          </w:p>
        </w:tc>
      </w:tr>
      <w:tr>
        <w:tc>
          <w:tcPr>
            <w:tcW w:type="dxa" w:w="2088"/>
            <w:vAlign w:val="center"/>
          </w:tcPr>
          <w:p>
            <w:pPr>
              <w:jc w:val="left"/>
            </w:pPr>
            <w:r/>
            <w:r>
              <w:rPr>
                <w:b w:val="0"/>
                <w:color w:val="243447"/>
                <w:sz w:val="17"/>
              </w:rPr>
              <w:t>Infrastructure</w:t>
            </w:r>
          </w:p>
        </w:tc>
        <w:tc>
          <w:tcPr>
            <w:tcW w:type="dxa" w:w="3096"/>
            <w:vAlign w:val="center"/>
          </w:tcPr>
          <w:p>
            <w:pPr>
              <w:jc w:val="left"/>
            </w:pPr>
            <w:r/>
            <w:r>
              <w:rPr>
                <w:b w:val="0"/>
                <w:color w:val="243447"/>
                <w:sz w:val="17"/>
              </w:rPr>
              <w:t>Electric Utility</w:t>
            </w:r>
          </w:p>
        </w:tc>
        <w:tc>
          <w:tcPr>
            <w:tcW w:type="dxa" w:w="3528"/>
            <w:vAlign w:val="center"/>
          </w:tcPr>
          <w:p>
            <w:pPr>
              <w:jc w:val="left"/>
            </w:pPr>
            <w:r/>
            <w:r>
              <w:rPr>
                <w:b w:val="0"/>
                <w:color w:val="243447"/>
                <w:sz w:val="17"/>
              </w:rPr>
              <w:t>Categorical context</w:t>
            </w:r>
          </w:p>
        </w:tc>
      </w:tr>
    </w:tbl>
    <w:p/>
    <w:tbl>
      <w:tblPr>
        <w:tblW w:type="auto" w:w="0"/>
        <w:jc w:val="center"/>
        <w:tblLook w:firstColumn="1" w:firstRow="1" w:lastColumn="0" w:lastRow="0" w:noHBand="0" w:noVBand="1" w:val="04A0"/>
      </w:tblPr>
      <w:tblGrid>
        <w:gridCol w:w="3408"/>
        <w:gridCol w:w="3408"/>
        <w:gridCol w:w="3408"/>
      </w:tblGrid>
      <w:tr>
        <w:tc>
          <w:tcPr>
            <w:tcW w:type="dxa" w:w="3408"/>
            <w:shd w:fill="EAF2F8"/>
          </w:tcPr>
          <w:p>
            <w:pPr>
              <w:jc w:val="center"/>
            </w:pPr>
            <w:r>
              <w:rPr>
                <w:b/>
                <w:color w:val="17365D"/>
                <w:sz w:val="36"/>
              </w:rPr>
              <w:t>9,998</w:t>
            </w:r>
            <w:r>
              <w:rPr>
                <w:color w:val="666666"/>
                <w:sz w:val="16"/>
              </w:rPr>
              <w:br/>
              <w:t>Dataset records</w:t>
            </w:r>
          </w:p>
        </w:tc>
        <w:tc>
          <w:tcPr>
            <w:tcW w:type="dxa" w:w="3408"/>
            <w:shd w:fill="EAF2F8"/>
          </w:tcPr>
          <w:p>
            <w:pPr>
              <w:jc w:val="center"/>
            </w:pPr>
            <w:r>
              <w:rPr>
                <w:b/>
                <w:color w:val="17365D"/>
                <w:sz w:val="36"/>
              </w:rPr>
              <w:t>7</w:t>
            </w:r>
            <w:r>
              <w:rPr>
                <w:color w:val="666666"/>
                <w:sz w:val="16"/>
              </w:rPr>
              <w:br/>
              <w:t>Numerical PCA inputs</w:t>
            </w:r>
          </w:p>
        </w:tc>
        <w:tc>
          <w:tcPr>
            <w:tcW w:type="dxa" w:w="3408"/>
            <w:shd w:fill="EAF2F8"/>
          </w:tcPr>
          <w:p>
            <w:pPr>
              <w:jc w:val="center"/>
            </w:pPr>
            <w:r>
              <w:rPr>
                <w:b/>
                <w:color w:val="17365D"/>
                <w:sz w:val="36"/>
              </w:rPr>
              <w:t>7</w:t>
            </w:r>
            <w:r>
              <w:rPr>
                <w:color w:val="666666"/>
                <w:sz w:val="16"/>
              </w:rPr>
              <w:br/>
              <w:t>PCA components retained</w:t>
            </w:r>
          </w:p>
        </w:tc>
      </w:tr>
    </w:tbl>
    <w:p/>
    <w:p>
      <w:pPr>
        <w:pStyle w:val="Heading1"/>
        <w:spacing w:before="200" w:after="100"/>
      </w:pPr>
      <w:r>
        <w:t>4. Analytical Methodology</w:t>
      </w:r>
    </w:p>
    <w:p>
      <w:r>
        <w:t>The notebook follows the analytical sequence below:</w:t>
      </w:r>
    </w:p>
    <w:tbl>
      <w:tblPr>
        <w:tblStyle w:val="TableGrid"/>
        <w:tblW w:type="auto" w:w="0"/>
        <w:jc w:val="center"/>
        <w:tblLook w:firstColumn="1" w:firstRow="1" w:lastColumn="0" w:lastRow="0" w:noHBand="0" w:noVBand="1" w:val="04A0"/>
      </w:tblPr>
      <w:tblGrid>
        <w:gridCol w:w="5112"/>
        <w:gridCol w:w="5112"/>
      </w:tblGrid>
      <w:tr>
        <w:tc>
          <w:tcPr>
            <w:tcW w:type="dxa" w:w="2088"/>
            <w:vAlign w:val="center"/>
            <w:shd w:fill="17365D"/>
          </w:tcPr>
          <w:p>
            <w:pPr>
              <w:jc w:val="left"/>
            </w:pPr>
            <w:r/>
            <w:r>
              <w:rPr>
                <w:b/>
                <w:color w:val="FFFFFF"/>
                <w:sz w:val="18"/>
              </w:rPr>
              <w:t>Stage</w:t>
            </w:r>
          </w:p>
        </w:tc>
        <w:tc>
          <w:tcPr>
            <w:tcW w:type="dxa" w:w="6624"/>
            <w:vAlign w:val="center"/>
            <w:shd w:fill="17365D"/>
          </w:tcPr>
          <w:p>
            <w:pPr>
              <w:jc w:val="left"/>
            </w:pPr>
            <w:r/>
            <w:r>
              <w:rPr>
                <w:b/>
                <w:color w:val="FFFFFF"/>
                <w:sz w:val="18"/>
              </w:rPr>
              <w:t>Description</w:t>
            </w:r>
          </w:p>
        </w:tc>
      </w:tr>
      <w:tr>
        <w:tc>
          <w:tcPr>
            <w:tcW w:type="dxa" w:w="2088"/>
            <w:vAlign w:val="center"/>
          </w:tcPr>
          <w:p>
            <w:pPr>
              <w:jc w:val="left"/>
            </w:pPr>
            <w:r/>
            <w:r>
              <w:rPr>
                <w:b w:val="0"/>
                <w:color w:val="243447"/>
                <w:sz w:val="17"/>
              </w:rPr>
              <w:t>1. Data loading</w:t>
            </w:r>
          </w:p>
        </w:tc>
        <w:tc>
          <w:tcPr>
            <w:tcW w:type="dxa" w:w="6624"/>
            <w:vAlign w:val="center"/>
          </w:tcPr>
          <w:p>
            <w:pPr>
              <w:jc w:val="left"/>
            </w:pPr>
            <w:r/>
            <w:r>
              <w:rPr>
                <w:b w:val="0"/>
                <w:color w:val="243447"/>
                <w:sz w:val="17"/>
              </w:rPr>
              <w:t>Load the EV dataset into a pandas DataFrame.</w:t>
            </w:r>
          </w:p>
        </w:tc>
      </w:tr>
      <w:tr>
        <w:tc>
          <w:tcPr>
            <w:tcW w:type="dxa" w:w="2088"/>
            <w:vAlign w:val="center"/>
          </w:tcPr>
          <w:p>
            <w:pPr>
              <w:jc w:val="left"/>
            </w:pPr>
            <w:r/>
            <w:r>
              <w:rPr>
                <w:b w:val="0"/>
                <w:color w:val="243447"/>
                <w:sz w:val="17"/>
              </w:rPr>
              <w:t>2. Visual EDA</w:t>
            </w:r>
          </w:p>
        </w:tc>
        <w:tc>
          <w:tcPr>
            <w:tcW w:type="dxa" w:w="6624"/>
            <w:vAlign w:val="center"/>
          </w:tcPr>
          <w:p>
            <w:pPr>
              <w:jc w:val="left"/>
            </w:pPr>
            <w:r/>
            <w:r>
              <w:rPr>
                <w:b w:val="0"/>
                <w:color w:val="243447"/>
                <w:sz w:val="17"/>
              </w:rPr>
              <w:t>Inspect EV type, model year, make, electric range, county and CAFV distributions.</w:t>
            </w:r>
          </w:p>
        </w:tc>
      </w:tr>
      <w:tr>
        <w:tc>
          <w:tcPr>
            <w:tcW w:type="dxa" w:w="2088"/>
            <w:vAlign w:val="center"/>
          </w:tcPr>
          <w:p>
            <w:pPr>
              <w:jc w:val="left"/>
            </w:pPr>
            <w:r/>
            <w:r>
              <w:rPr>
                <w:b w:val="0"/>
                <w:color w:val="243447"/>
                <w:sz w:val="17"/>
              </w:rPr>
              <w:t>3. Correlation analysis</w:t>
            </w:r>
          </w:p>
        </w:tc>
        <w:tc>
          <w:tcPr>
            <w:tcW w:type="dxa" w:w="6624"/>
            <w:vAlign w:val="center"/>
          </w:tcPr>
          <w:p>
            <w:pPr>
              <w:jc w:val="left"/>
            </w:pPr>
            <w:r/>
            <w:r>
              <w:rPr>
                <w:b w:val="0"/>
                <w:color w:val="243447"/>
                <w:sz w:val="17"/>
              </w:rPr>
              <w:t>Compute a correlation matrix for numerical variables.</w:t>
            </w:r>
          </w:p>
        </w:tc>
      </w:tr>
      <w:tr>
        <w:tc>
          <w:tcPr>
            <w:tcW w:type="dxa" w:w="2088"/>
            <w:vAlign w:val="center"/>
          </w:tcPr>
          <w:p>
            <w:pPr>
              <w:jc w:val="left"/>
            </w:pPr>
            <w:r/>
            <w:r>
              <w:rPr>
                <w:b w:val="0"/>
                <w:color w:val="243447"/>
                <w:sz w:val="17"/>
              </w:rPr>
              <w:t>4. K-Means clustering</w:t>
            </w:r>
          </w:p>
        </w:tc>
        <w:tc>
          <w:tcPr>
            <w:tcW w:type="dxa" w:w="6624"/>
            <w:vAlign w:val="center"/>
          </w:tcPr>
          <w:p>
            <w:pPr>
              <w:jc w:val="left"/>
            </w:pPr>
            <w:r/>
            <w:r>
              <w:rPr>
                <w:b w:val="0"/>
                <w:color w:val="243447"/>
                <w:sz w:val="17"/>
              </w:rPr>
              <w:t>Use scaled features and select k = 3 based on the notebook's stated elbow-method workflow.</w:t>
            </w:r>
          </w:p>
        </w:tc>
      </w:tr>
      <w:tr>
        <w:tc>
          <w:tcPr>
            <w:tcW w:type="dxa" w:w="2088"/>
            <w:vAlign w:val="center"/>
          </w:tcPr>
          <w:p>
            <w:pPr>
              <w:jc w:val="left"/>
            </w:pPr>
            <w:r/>
            <w:r>
              <w:rPr>
                <w:b w:val="0"/>
                <w:color w:val="243447"/>
                <w:sz w:val="17"/>
              </w:rPr>
              <w:t>5. Cluster evaluation</w:t>
            </w:r>
          </w:p>
        </w:tc>
        <w:tc>
          <w:tcPr>
            <w:tcW w:type="dxa" w:w="6624"/>
            <w:vAlign w:val="center"/>
          </w:tcPr>
          <w:p>
            <w:pPr>
              <w:jc w:val="left"/>
            </w:pPr>
            <w:r/>
            <w:r>
              <w:rPr>
                <w:b w:val="0"/>
                <w:color w:val="243447"/>
                <w:sz w:val="17"/>
              </w:rPr>
              <w:t>Assess the solution using silhouette score and cluster-to-EV-type alignment.</w:t>
            </w:r>
          </w:p>
        </w:tc>
      </w:tr>
      <w:tr>
        <w:tc>
          <w:tcPr>
            <w:tcW w:type="dxa" w:w="2088"/>
            <w:vAlign w:val="center"/>
          </w:tcPr>
          <w:p>
            <w:pPr>
              <w:jc w:val="left"/>
            </w:pPr>
            <w:r/>
            <w:r>
              <w:rPr>
                <w:b w:val="0"/>
                <w:color w:val="243447"/>
                <w:sz w:val="17"/>
              </w:rPr>
              <w:t>6. Hierarchical clustering</w:t>
            </w:r>
          </w:p>
        </w:tc>
        <w:tc>
          <w:tcPr>
            <w:tcW w:type="dxa" w:w="6624"/>
            <w:vAlign w:val="center"/>
          </w:tcPr>
          <w:p>
            <w:pPr>
              <w:jc w:val="left"/>
            </w:pPr>
            <w:r/>
            <w:r>
              <w:rPr>
                <w:b w:val="0"/>
                <w:color w:val="243447"/>
                <w:sz w:val="17"/>
              </w:rPr>
              <w:t>Use Ward linkage on the first 2,000 scaled observations and compare three clusters.</w:t>
            </w:r>
          </w:p>
        </w:tc>
      </w:tr>
      <w:tr>
        <w:tc>
          <w:tcPr>
            <w:tcW w:type="dxa" w:w="2088"/>
            <w:vAlign w:val="center"/>
          </w:tcPr>
          <w:p>
            <w:pPr>
              <w:jc w:val="left"/>
            </w:pPr>
            <w:r/>
            <w:r>
              <w:rPr>
                <w:b w:val="0"/>
                <w:color w:val="243447"/>
                <w:sz w:val="17"/>
              </w:rPr>
              <w:t>7. Random Forest</w:t>
            </w:r>
          </w:p>
        </w:tc>
        <w:tc>
          <w:tcPr>
            <w:tcW w:type="dxa" w:w="6624"/>
            <w:vAlign w:val="center"/>
          </w:tcPr>
          <w:p>
            <w:pPr>
              <w:jc w:val="left"/>
            </w:pPr>
            <w:r/>
            <w:r>
              <w:rPr>
                <w:b w:val="0"/>
                <w:color w:val="243447"/>
                <w:sz w:val="17"/>
              </w:rPr>
              <w:t>Build a preprocessing pipeline with scaling for numerical features and one-hot encoding for categorical features.</w:t>
            </w:r>
          </w:p>
        </w:tc>
      </w:tr>
      <w:tr>
        <w:tc>
          <w:tcPr>
            <w:tcW w:type="dxa" w:w="2088"/>
            <w:vAlign w:val="center"/>
          </w:tcPr>
          <w:p>
            <w:pPr>
              <w:jc w:val="left"/>
            </w:pPr>
            <w:r/>
            <w:r>
              <w:rPr>
                <w:b w:val="0"/>
                <w:color w:val="243447"/>
                <w:sz w:val="17"/>
              </w:rPr>
              <w:t>8. Feature importance</w:t>
            </w:r>
          </w:p>
        </w:tc>
        <w:tc>
          <w:tcPr>
            <w:tcW w:type="dxa" w:w="6624"/>
            <w:vAlign w:val="center"/>
          </w:tcPr>
          <w:p>
            <w:pPr>
              <w:jc w:val="left"/>
            </w:pPr>
            <w:r/>
            <w:r>
              <w:rPr>
                <w:b w:val="0"/>
                <w:color w:val="243447"/>
                <w:sz w:val="17"/>
              </w:rPr>
              <w:t>Extract and rank Random Forest feature importances.</w:t>
            </w:r>
          </w:p>
        </w:tc>
      </w:tr>
      <w:tr>
        <w:tc>
          <w:tcPr>
            <w:tcW w:type="dxa" w:w="2088"/>
            <w:vAlign w:val="center"/>
          </w:tcPr>
          <w:p>
            <w:pPr>
              <w:jc w:val="left"/>
            </w:pPr>
            <w:r/>
            <w:r>
              <w:rPr>
                <w:b w:val="0"/>
                <w:color w:val="243447"/>
                <w:sz w:val="17"/>
              </w:rPr>
              <w:t>9. PCA</w:t>
            </w:r>
          </w:p>
        </w:tc>
        <w:tc>
          <w:tcPr>
            <w:tcW w:type="dxa" w:w="6624"/>
            <w:vAlign w:val="center"/>
          </w:tcPr>
          <w:p>
            <w:pPr>
              <w:jc w:val="left"/>
            </w:pPr>
            <w:r/>
            <w:r>
              <w:rPr>
                <w:b w:val="0"/>
                <w:color w:val="243447"/>
                <w:sz w:val="17"/>
              </w:rPr>
              <w:t>Standardize seven numerical variables and retain seven components for at least 95% variance.</w:t>
            </w:r>
          </w:p>
        </w:tc>
      </w:tr>
      <w:tr>
        <w:tc>
          <w:tcPr>
            <w:tcW w:type="dxa" w:w="2088"/>
            <w:vAlign w:val="center"/>
          </w:tcPr>
          <w:p>
            <w:pPr>
              <w:jc w:val="left"/>
            </w:pPr>
            <w:r/>
            <w:r>
              <w:rPr>
                <w:b w:val="0"/>
                <w:color w:val="243447"/>
                <w:sz w:val="17"/>
              </w:rPr>
              <w:t>10. PCA + Random Forest</w:t>
            </w:r>
          </w:p>
        </w:tc>
        <w:tc>
          <w:tcPr>
            <w:tcW w:type="dxa" w:w="6624"/>
            <w:vAlign w:val="center"/>
          </w:tcPr>
          <w:p>
            <w:pPr>
              <w:jc w:val="left"/>
            </w:pPr>
            <w:r/>
            <w:r>
              <w:rPr>
                <w:b w:val="0"/>
                <w:color w:val="243447"/>
                <w:sz w:val="17"/>
              </w:rPr>
              <w:t>Evaluate a Random Forest using the PCA-transformed features with five-fold stratified CV.</w:t>
            </w:r>
          </w:p>
        </w:tc>
      </w:tr>
    </w:tbl>
    <w:p/>
    <w:p>
      <w:pPr>
        <w:pStyle w:val="Heading1"/>
        <w:spacing w:before="200" w:after="100"/>
      </w:pPr>
      <w:r>
        <w:t>5. Exploratory Data Analysis</w:t>
      </w:r>
    </w:p>
    <w:p>
      <w:r>
        <w:t>The notebook contains visual EDA for six major dimensions: EV type, model year, top makes, electric range, top counties, and CAFV status. These views are intended to establish the dataset's composition before applying machine-learning methods.</w:t>
      </w:r>
    </w:p>
    <w:p>
      <w:pPr>
        <w:pStyle w:val="Heading2"/>
        <w:spacing w:before="200" w:after="100"/>
      </w:pPr>
      <w:r>
        <w:t>EDA Views Included</w:t>
      </w:r>
    </w:p>
    <w:p>
      <w:pPr>
        <w:pStyle w:val="ListBullet"/>
        <w:spacing w:after="40"/>
      </w:pPr>
      <w:r>
        <w:t>Distribution of EV Types</w:t>
      </w:r>
    </w:p>
    <w:p>
      <w:pPr>
        <w:pStyle w:val="ListBullet"/>
        <w:spacing w:after="40"/>
      </w:pPr>
      <w:r>
        <w:t>Distribution of Model Years</w:t>
      </w:r>
    </w:p>
    <w:p>
      <w:pPr>
        <w:pStyle w:val="ListBullet"/>
        <w:spacing w:after="40"/>
      </w:pPr>
      <w:r>
        <w:t>Top 10 EV Makes</w:t>
      </w:r>
    </w:p>
    <w:p>
      <w:pPr>
        <w:pStyle w:val="ListBullet"/>
        <w:spacing w:after="40"/>
      </w:pPr>
      <w:r>
        <w:t>Distribution of Electric Range</w:t>
      </w:r>
    </w:p>
    <w:p>
      <w:pPr>
        <w:pStyle w:val="ListBullet"/>
        <w:spacing w:after="40"/>
      </w:pPr>
      <w:r>
        <w:t>Top 10 Counties by EV count</w:t>
      </w:r>
    </w:p>
    <w:p>
      <w:pPr>
        <w:pStyle w:val="ListBullet"/>
        <w:spacing w:after="40"/>
      </w:pPr>
      <w:r>
        <w:t>CAFV status distribution</w:t>
      </w:r>
    </w:p>
    <w:p>
      <w:pPr>
        <w:pStyle w:val="ListBullet"/>
        <w:spacing w:after="40"/>
      </w:pPr>
      <w:r>
        <w:t>Correlation matrix for numerical features</w:t>
      </w:r>
    </w:p>
    <w:p>
      <w:r>
        <w:t>Because the notebook stores the plotting outputs as figures rather than tabulated counts for these EDA charts, this report does not introduce additional numeric distribution claims beyond the values explicitly recorded in the notebook outputs.</w:t>
      </w:r>
    </w:p>
    <w:p>
      <w:pPr>
        <w:pStyle w:val="Heading1"/>
        <w:spacing w:before="200" w:after="100"/>
      </w:pPr>
      <w:r>
        <w:t>6. Unsupervised Learning – K-Means</w:t>
      </w:r>
    </w:p>
    <w:p>
      <w:r>
        <w:t>K-Means clustering was evaluated across candidate values of k using the elbow-method workflow. The notebook then sets the operational solution to three clusters and analyses their relationship with EV Type.</w:t>
      </w:r>
    </w:p>
    <w:p>
      <w:pPr>
        <w:jc w:val="center"/>
      </w:pPr>
      <w:r>
        <w:drawing>
          <wp:inline xmlns:a="http://schemas.openxmlformats.org/drawingml/2006/main" xmlns:pic="http://schemas.openxmlformats.org/drawingml/2006/picture">
            <wp:extent cx="5303520" cy="3068152"/>
            <wp:docPr id="1" name="Picture 1"/>
            <wp:cNvGraphicFramePr>
              <a:graphicFrameLocks noChangeAspect="1"/>
            </wp:cNvGraphicFramePr>
            <a:graphic>
              <a:graphicData uri="http://schemas.openxmlformats.org/drawingml/2006/picture">
                <pic:pic>
                  <pic:nvPicPr>
                    <pic:cNvPr id="0" name="cluster_sizes.png"/>
                    <pic:cNvPicPr/>
                  </pic:nvPicPr>
                  <pic:blipFill>
                    <a:blip r:embed="rId11"/>
                    <a:stretch>
                      <a:fillRect/>
                    </a:stretch>
                  </pic:blipFill>
                  <pic:spPr>
                    <a:xfrm>
                      <a:off x="0" y="0"/>
                      <a:ext cx="5303520" cy="3068152"/>
                    </a:xfrm>
                    <a:prstGeom prst="rect"/>
                  </pic:spPr>
                </pic:pic>
              </a:graphicData>
            </a:graphic>
          </wp:inline>
        </w:drawing>
      </w:r>
    </w:p>
    <w:p>
      <w:pPr>
        <w:jc w:val="center"/>
      </w:pPr>
      <w:r>
        <w:rPr>
          <w:i/>
        </w:rPr>
        <w:t>Figure 1. K-Means cluster sizes derived from the recorded cluster-by-type counts.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vAlign w:val="center"/>
            <w:shd w:fill="17365D"/>
          </w:tcPr>
          <w:p>
            <w:pPr>
              <w:jc w:val="left"/>
            </w:pPr>
            <w:r/>
            <w:r>
              <w:rPr>
                <w:b/>
                <w:color w:val="FFFFFF"/>
                <w:sz w:val="18"/>
              </w:rPr>
              <w:t>Cluster</w:t>
            </w:r>
          </w:p>
        </w:tc>
        <w:tc>
          <w:tcPr>
            <w:tcW w:type="dxa" w:w="1728"/>
            <w:vAlign w:val="center"/>
            <w:shd w:fill="17365D"/>
          </w:tcPr>
          <w:p>
            <w:pPr>
              <w:jc w:val="left"/>
            </w:pPr>
            <w:r/>
            <w:r>
              <w:rPr>
                <w:b/>
                <w:color w:val="FFFFFF"/>
                <w:sz w:val="18"/>
              </w:rPr>
              <w:t>BEV</w:t>
            </w:r>
          </w:p>
        </w:tc>
        <w:tc>
          <w:tcPr>
            <w:tcW w:type="dxa" w:w="1728"/>
            <w:vAlign w:val="center"/>
            <w:shd w:fill="17365D"/>
          </w:tcPr>
          <w:p>
            <w:pPr>
              <w:jc w:val="left"/>
            </w:pPr>
            <w:r/>
            <w:r>
              <w:rPr>
                <w:b/>
                <w:color w:val="FFFFFF"/>
                <w:sz w:val="18"/>
              </w:rPr>
              <w:t>PHEV</w:t>
            </w:r>
          </w:p>
        </w:tc>
        <w:tc>
          <w:tcPr>
            <w:tcW w:type="dxa" w:w="1728"/>
            <w:vAlign w:val="center"/>
            <w:shd w:fill="17365D"/>
          </w:tcPr>
          <w:p>
            <w:pPr>
              <w:jc w:val="left"/>
            </w:pPr>
            <w:r/>
            <w:r>
              <w:rPr>
                <w:b/>
                <w:color w:val="FFFFFF"/>
                <w:sz w:val="18"/>
              </w:rPr>
              <w:t>Total</w:t>
            </w:r>
          </w:p>
        </w:tc>
      </w:tr>
      <w:tr>
        <w:tc>
          <w:tcPr>
            <w:tcW w:type="dxa" w:w="1728"/>
            <w:vAlign w:val="center"/>
          </w:tcPr>
          <w:p>
            <w:pPr>
              <w:jc w:val="left"/>
            </w:pPr>
            <w:r/>
            <w:r>
              <w:rPr>
                <w:b w:val="0"/>
                <w:color w:val="243447"/>
                <w:sz w:val="17"/>
              </w:rPr>
              <w:t>0</w:t>
            </w:r>
          </w:p>
        </w:tc>
        <w:tc>
          <w:tcPr>
            <w:tcW w:type="dxa" w:w="1728"/>
            <w:vAlign w:val="center"/>
          </w:tcPr>
          <w:p>
            <w:pPr>
              <w:jc w:val="left"/>
            </w:pPr>
            <w:r/>
            <w:r>
              <w:rPr>
                <w:b w:val="0"/>
                <w:color w:val="243447"/>
                <w:sz w:val="17"/>
              </w:rPr>
              <w:t>5,406</w:t>
            </w:r>
          </w:p>
        </w:tc>
        <w:tc>
          <w:tcPr>
            <w:tcW w:type="dxa" w:w="1728"/>
            <w:vAlign w:val="center"/>
          </w:tcPr>
          <w:p>
            <w:pPr>
              <w:jc w:val="left"/>
            </w:pPr>
            <w:r/>
            <w:r>
              <w:rPr>
                <w:b w:val="0"/>
                <w:color w:val="243447"/>
                <w:sz w:val="17"/>
              </w:rPr>
              <w:t>1,518</w:t>
            </w:r>
          </w:p>
        </w:tc>
        <w:tc>
          <w:tcPr>
            <w:tcW w:type="dxa" w:w="1728"/>
            <w:vAlign w:val="center"/>
          </w:tcPr>
          <w:p>
            <w:pPr>
              <w:jc w:val="left"/>
            </w:pPr>
            <w:r/>
            <w:r>
              <w:rPr>
                <w:b w:val="0"/>
                <w:color w:val="243447"/>
                <w:sz w:val="17"/>
              </w:rPr>
              <w:t>6,924</w:t>
            </w:r>
          </w:p>
        </w:tc>
      </w:tr>
      <w:tr>
        <w:tc>
          <w:tcPr>
            <w:tcW w:type="dxa" w:w="1728"/>
            <w:vAlign w:val="center"/>
          </w:tcPr>
          <w:p>
            <w:pPr>
              <w:jc w:val="left"/>
            </w:pPr>
            <w:r/>
            <w:r>
              <w:rPr>
                <w:b w:val="0"/>
                <w:color w:val="243447"/>
                <w:sz w:val="17"/>
              </w:rPr>
              <w:t>1</w:t>
            </w:r>
          </w:p>
        </w:tc>
        <w:tc>
          <w:tcPr>
            <w:tcW w:type="dxa" w:w="1728"/>
            <w:vAlign w:val="center"/>
          </w:tcPr>
          <w:p>
            <w:pPr>
              <w:jc w:val="left"/>
            </w:pPr>
            <w:r/>
            <w:r>
              <w:rPr>
                <w:b w:val="0"/>
                <w:color w:val="243447"/>
                <w:sz w:val="17"/>
              </w:rPr>
              <w:t>2,316</w:t>
            </w:r>
          </w:p>
        </w:tc>
        <w:tc>
          <w:tcPr>
            <w:tcW w:type="dxa" w:w="1728"/>
            <w:vAlign w:val="center"/>
          </w:tcPr>
          <w:p>
            <w:pPr>
              <w:jc w:val="left"/>
            </w:pPr>
            <w:r/>
            <w:r>
              <w:rPr>
                <w:b w:val="0"/>
                <w:color w:val="243447"/>
                <w:sz w:val="17"/>
              </w:rPr>
              <w:t>597</w:t>
            </w:r>
          </w:p>
        </w:tc>
        <w:tc>
          <w:tcPr>
            <w:tcW w:type="dxa" w:w="1728"/>
            <w:vAlign w:val="center"/>
          </w:tcPr>
          <w:p>
            <w:pPr>
              <w:jc w:val="left"/>
            </w:pPr>
            <w:r/>
            <w:r>
              <w:rPr>
                <w:b w:val="0"/>
                <w:color w:val="243447"/>
                <w:sz w:val="17"/>
              </w:rPr>
              <w:t>2,913</w:t>
            </w:r>
          </w:p>
        </w:tc>
      </w:tr>
      <w:tr>
        <w:tc>
          <w:tcPr>
            <w:tcW w:type="dxa" w:w="1728"/>
            <w:vAlign w:val="center"/>
          </w:tcPr>
          <w:p>
            <w:pPr>
              <w:jc w:val="left"/>
            </w:pPr>
            <w:r/>
            <w:r>
              <w:rPr>
                <w:b w:val="0"/>
                <w:color w:val="243447"/>
                <w:sz w:val="17"/>
              </w:rPr>
              <w:t>2</w:t>
            </w:r>
          </w:p>
        </w:tc>
        <w:tc>
          <w:tcPr>
            <w:tcW w:type="dxa" w:w="1728"/>
            <w:vAlign w:val="center"/>
          </w:tcPr>
          <w:p>
            <w:pPr>
              <w:jc w:val="left"/>
            </w:pPr>
            <w:r/>
            <w:r>
              <w:rPr>
                <w:b w:val="0"/>
                <w:color w:val="243447"/>
                <w:sz w:val="17"/>
              </w:rPr>
              <w:t>107</w:t>
            </w:r>
          </w:p>
        </w:tc>
        <w:tc>
          <w:tcPr>
            <w:tcW w:type="dxa" w:w="1728"/>
            <w:vAlign w:val="center"/>
          </w:tcPr>
          <w:p>
            <w:pPr>
              <w:jc w:val="left"/>
            </w:pPr>
            <w:r/>
            <w:r>
              <w:rPr>
                <w:b w:val="0"/>
                <w:color w:val="243447"/>
                <w:sz w:val="17"/>
              </w:rPr>
              <w:t>54</w:t>
            </w:r>
          </w:p>
        </w:tc>
        <w:tc>
          <w:tcPr>
            <w:tcW w:type="dxa" w:w="1728"/>
            <w:vAlign w:val="center"/>
          </w:tcPr>
          <w:p>
            <w:pPr>
              <w:jc w:val="left"/>
            </w:pPr>
            <w:r/>
            <w:r>
              <w:rPr>
                <w:b w:val="0"/>
                <w:color w:val="243447"/>
                <w:sz w:val="17"/>
              </w:rPr>
              <w:t>161</w:t>
            </w:r>
          </w:p>
        </w:tc>
      </w:tr>
      <w:tr>
        <w:tc>
          <w:tcPr>
            <w:tcW w:type="dxa" w:w="1728"/>
            <w:vAlign w:val="center"/>
          </w:tcPr>
          <w:p>
            <w:pPr>
              <w:jc w:val="left"/>
            </w:pPr>
            <w:r/>
            <w:r>
              <w:rPr>
                <w:b w:val="0"/>
                <w:color w:val="243447"/>
                <w:sz w:val="17"/>
              </w:rPr>
              <w:t>Total</w:t>
            </w:r>
          </w:p>
        </w:tc>
        <w:tc>
          <w:tcPr>
            <w:tcW w:type="dxa" w:w="1728"/>
            <w:vAlign w:val="center"/>
          </w:tcPr>
          <w:p>
            <w:pPr>
              <w:jc w:val="left"/>
            </w:pPr>
            <w:r/>
            <w:r>
              <w:rPr>
                <w:b w:val="0"/>
                <w:color w:val="243447"/>
                <w:sz w:val="17"/>
              </w:rPr>
              <w:t>7,829</w:t>
            </w:r>
          </w:p>
        </w:tc>
        <w:tc>
          <w:tcPr>
            <w:tcW w:type="dxa" w:w="1728"/>
            <w:vAlign w:val="center"/>
          </w:tcPr>
          <w:p>
            <w:pPr>
              <w:jc w:val="left"/>
            </w:pPr>
            <w:r/>
            <w:r>
              <w:rPr>
                <w:b w:val="0"/>
                <w:color w:val="243447"/>
                <w:sz w:val="17"/>
              </w:rPr>
              <w:t>2,169</w:t>
            </w:r>
          </w:p>
        </w:tc>
        <w:tc>
          <w:tcPr>
            <w:tcW w:type="dxa" w:w="1728"/>
            <w:vAlign w:val="center"/>
          </w:tcPr>
          <w:p>
            <w:pPr>
              <w:jc w:val="left"/>
            </w:pPr>
            <w:r/>
            <w:r>
              <w:rPr>
                <w:b w:val="0"/>
                <w:color w:val="243447"/>
                <w:sz w:val="17"/>
              </w:rPr>
              <w:t>9,998</w:t>
            </w:r>
          </w:p>
        </w:tc>
      </w:tr>
    </w:tbl>
    <w:p/>
    <w:p>
      <w:pPr>
        <w:jc w:val="center"/>
      </w:pPr>
      <w:r>
        <w:drawing>
          <wp:inline xmlns:a="http://schemas.openxmlformats.org/drawingml/2006/main" xmlns:pic="http://schemas.openxmlformats.org/drawingml/2006/picture">
            <wp:extent cx="5486400" cy="3108059"/>
            <wp:docPr id="2" name="Picture 2"/>
            <wp:cNvGraphicFramePr>
              <a:graphicFrameLocks noChangeAspect="1"/>
            </wp:cNvGraphicFramePr>
            <a:graphic>
              <a:graphicData uri="http://schemas.openxmlformats.org/drawingml/2006/picture">
                <pic:pic>
                  <pic:nvPicPr>
                    <pic:cNvPr id="0" name="cluster_ev_type.png"/>
                    <pic:cNvPicPr/>
                  </pic:nvPicPr>
                  <pic:blipFill>
                    <a:blip r:embed="rId12"/>
                    <a:stretch>
                      <a:fillRect/>
                    </a:stretch>
                  </pic:blipFill>
                  <pic:spPr>
                    <a:xfrm>
                      <a:off x="0" y="0"/>
                      <a:ext cx="5486400" cy="3108059"/>
                    </a:xfrm>
                    <a:prstGeom prst="rect"/>
                  </pic:spPr>
                </pic:pic>
              </a:graphicData>
            </a:graphic>
          </wp:inline>
        </w:drawing>
      </w:r>
    </w:p>
    <w:p>
      <w:pPr>
        <w:jc w:val="center"/>
      </w:pPr>
      <w:r>
        <w:rPr>
          <w:i/>
        </w:rPr>
        <w:t>Figure 2. Recorded EV Type composition across the three K-Means clusters.</w:t>
      </w:r>
    </w:p>
    <w:p>
      <w:pPr>
        <w:pStyle w:val="Heading2"/>
        <w:spacing w:before="200" w:after="100"/>
      </w:pPr>
      <w:r>
        <w:t>Cluster Characterization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440"/>
            <w:vAlign w:val="center"/>
            <w:shd w:fill="17365D"/>
          </w:tcPr>
          <w:p>
            <w:pPr>
              <w:jc w:val="left"/>
            </w:pPr>
            <w:r/>
            <w:r>
              <w:rPr>
                <w:b/>
                <w:color w:val="FFFFFF"/>
                <w:sz w:val="18"/>
              </w:rPr>
              <w:t>Cluster</w:t>
            </w:r>
          </w:p>
        </w:tc>
        <w:tc>
          <w:tcPr>
            <w:tcW w:type="dxa" w:w="1800"/>
            <w:vAlign w:val="center"/>
            <w:shd w:fill="17365D"/>
          </w:tcPr>
          <w:p>
            <w:pPr>
              <w:jc w:val="left"/>
            </w:pPr>
            <w:r/>
            <w:r>
              <w:rPr>
                <w:b/>
                <w:color w:val="FFFFFF"/>
                <w:sz w:val="18"/>
              </w:rPr>
              <w:t>Mean Model Year</w:t>
            </w:r>
          </w:p>
        </w:tc>
        <w:tc>
          <w:tcPr>
            <w:tcW w:type="dxa" w:w="1944"/>
            <w:vAlign w:val="center"/>
            <w:shd w:fill="17365D"/>
          </w:tcPr>
          <w:p>
            <w:pPr>
              <w:jc w:val="left"/>
            </w:pPr>
            <w:r/>
            <w:r>
              <w:rPr>
                <w:b/>
                <w:color w:val="FFFFFF"/>
                <w:sz w:val="18"/>
              </w:rPr>
              <w:t>Mean Electric Range</w:t>
            </w:r>
          </w:p>
        </w:tc>
        <w:tc>
          <w:tcPr>
            <w:tcW w:type="dxa" w:w="1800"/>
            <w:vAlign w:val="center"/>
            <w:shd w:fill="17365D"/>
          </w:tcPr>
          <w:p>
            <w:pPr>
              <w:jc w:val="left"/>
            </w:pPr>
            <w:r/>
            <w:r>
              <w:rPr>
                <w:b/>
                <w:color w:val="FFFFFF"/>
                <w:sz w:val="18"/>
              </w:rPr>
              <w:t>Mean Base MSRP</w:t>
            </w:r>
          </w:p>
        </w:tc>
        <w:tc>
          <w:tcPr>
            <w:tcW w:type="dxa" w:w="2232"/>
            <w:vAlign w:val="center"/>
            <w:shd w:fill="17365D"/>
          </w:tcPr>
          <w:p>
            <w:pPr>
              <w:jc w:val="left"/>
            </w:pPr>
            <w:r/>
            <w:r>
              <w:rPr>
                <w:b/>
                <w:color w:val="FFFFFF"/>
                <w:sz w:val="18"/>
              </w:rPr>
              <w:t>Mean Legislative District</w:t>
            </w:r>
          </w:p>
        </w:tc>
      </w:tr>
      <w:tr>
        <w:tc>
          <w:tcPr>
            <w:tcW w:type="dxa" w:w="1440"/>
            <w:vAlign w:val="center"/>
          </w:tcPr>
          <w:p>
            <w:pPr>
              <w:jc w:val="left"/>
            </w:pPr>
            <w:r/>
            <w:r>
              <w:rPr>
                <w:b w:val="0"/>
                <w:color w:val="243447"/>
                <w:sz w:val="17"/>
              </w:rPr>
              <w:t>0</w:t>
            </w:r>
          </w:p>
        </w:tc>
        <w:tc>
          <w:tcPr>
            <w:tcW w:type="dxa" w:w="1800"/>
            <w:vAlign w:val="center"/>
          </w:tcPr>
          <w:p>
            <w:pPr>
              <w:jc w:val="left"/>
            </w:pPr>
            <w:r/>
            <w:r>
              <w:rPr>
                <w:b w:val="0"/>
                <w:color w:val="243447"/>
                <w:sz w:val="17"/>
              </w:rPr>
              <w:t>2022.63</w:t>
            </w:r>
          </w:p>
        </w:tc>
        <w:tc>
          <w:tcPr>
            <w:tcW w:type="dxa" w:w="1944"/>
            <w:vAlign w:val="center"/>
          </w:tcPr>
          <w:p>
            <w:pPr>
              <w:jc w:val="left"/>
            </w:pPr>
            <w:r/>
            <w:r>
              <w:rPr>
                <w:b w:val="0"/>
                <w:color w:val="243447"/>
                <w:sz w:val="17"/>
              </w:rPr>
              <w:t>6.14</w:t>
            </w:r>
          </w:p>
        </w:tc>
        <w:tc>
          <w:tcPr>
            <w:tcW w:type="dxa" w:w="1800"/>
            <w:vAlign w:val="center"/>
          </w:tcPr>
          <w:p>
            <w:pPr>
              <w:jc w:val="left"/>
            </w:pPr>
            <w:r/>
            <w:r>
              <w:rPr>
                <w:b w:val="0"/>
                <w:color w:val="243447"/>
                <w:sz w:val="17"/>
              </w:rPr>
              <w:t>0.00</w:t>
            </w:r>
          </w:p>
        </w:tc>
        <w:tc>
          <w:tcPr>
            <w:tcW w:type="dxa" w:w="2232"/>
            <w:vAlign w:val="center"/>
          </w:tcPr>
          <w:p>
            <w:pPr>
              <w:jc w:val="left"/>
            </w:pPr>
            <w:r/>
            <w:r>
              <w:rPr>
                <w:b w:val="0"/>
                <w:color w:val="243447"/>
                <w:sz w:val="17"/>
              </w:rPr>
              <w:t>32.73</w:t>
            </w:r>
          </w:p>
        </w:tc>
      </w:tr>
      <w:tr>
        <w:tc>
          <w:tcPr>
            <w:tcW w:type="dxa" w:w="1440"/>
            <w:vAlign w:val="center"/>
          </w:tcPr>
          <w:p>
            <w:pPr>
              <w:jc w:val="left"/>
            </w:pPr>
            <w:r/>
            <w:r>
              <w:rPr>
                <w:b w:val="0"/>
                <w:color w:val="243447"/>
                <w:sz w:val="17"/>
              </w:rPr>
              <w:t>1</w:t>
            </w:r>
          </w:p>
        </w:tc>
        <w:tc>
          <w:tcPr>
            <w:tcW w:type="dxa" w:w="1800"/>
            <w:vAlign w:val="center"/>
          </w:tcPr>
          <w:p>
            <w:pPr>
              <w:jc w:val="left"/>
            </w:pPr>
            <w:r/>
            <w:r>
              <w:rPr>
                <w:b w:val="0"/>
                <w:color w:val="243447"/>
                <w:sz w:val="17"/>
              </w:rPr>
              <w:t>2017.30</w:t>
            </w:r>
          </w:p>
        </w:tc>
        <w:tc>
          <w:tcPr>
            <w:tcW w:type="dxa" w:w="1944"/>
            <w:vAlign w:val="center"/>
          </w:tcPr>
          <w:p>
            <w:pPr>
              <w:jc w:val="left"/>
            </w:pPr>
            <w:r/>
            <w:r>
              <w:rPr>
                <w:b w:val="0"/>
                <w:color w:val="243447"/>
                <w:sz w:val="17"/>
              </w:rPr>
              <w:t>164.97</w:t>
            </w:r>
          </w:p>
        </w:tc>
        <w:tc>
          <w:tcPr>
            <w:tcW w:type="dxa" w:w="1800"/>
            <w:vAlign w:val="center"/>
          </w:tcPr>
          <w:p>
            <w:pPr>
              <w:jc w:val="left"/>
            </w:pPr>
            <w:r/>
            <w:r>
              <w:rPr>
                <w:b w:val="0"/>
                <w:color w:val="243447"/>
                <w:sz w:val="17"/>
              </w:rPr>
              <w:t>0.00</w:t>
            </w:r>
          </w:p>
        </w:tc>
        <w:tc>
          <w:tcPr>
            <w:tcW w:type="dxa" w:w="2232"/>
            <w:vAlign w:val="center"/>
          </w:tcPr>
          <w:p>
            <w:pPr>
              <w:jc w:val="left"/>
            </w:pPr>
            <w:r/>
            <w:r>
              <w:rPr>
                <w:b w:val="0"/>
                <w:color w:val="243447"/>
                <w:sz w:val="17"/>
              </w:rPr>
              <w:t>33.53</w:t>
            </w:r>
          </w:p>
        </w:tc>
      </w:tr>
      <w:tr>
        <w:tc>
          <w:tcPr>
            <w:tcW w:type="dxa" w:w="1440"/>
            <w:vAlign w:val="center"/>
          </w:tcPr>
          <w:p>
            <w:pPr>
              <w:jc w:val="left"/>
            </w:pPr>
            <w:r/>
            <w:r>
              <w:rPr>
                <w:b w:val="0"/>
                <w:color w:val="243447"/>
                <w:sz w:val="17"/>
              </w:rPr>
              <w:t>2</w:t>
            </w:r>
          </w:p>
        </w:tc>
        <w:tc>
          <w:tcPr>
            <w:tcW w:type="dxa" w:w="1800"/>
            <w:vAlign w:val="center"/>
          </w:tcPr>
          <w:p>
            <w:pPr>
              <w:jc w:val="left"/>
            </w:pPr>
            <w:r/>
            <w:r>
              <w:rPr>
                <w:b w:val="0"/>
                <w:color w:val="243447"/>
                <w:sz w:val="17"/>
              </w:rPr>
              <w:t>2015.36</w:t>
            </w:r>
          </w:p>
        </w:tc>
        <w:tc>
          <w:tcPr>
            <w:tcW w:type="dxa" w:w="1944"/>
            <w:vAlign w:val="center"/>
          </w:tcPr>
          <w:p>
            <w:pPr>
              <w:jc w:val="left"/>
            </w:pPr>
            <w:r/>
            <w:r>
              <w:rPr>
                <w:b w:val="0"/>
                <w:color w:val="243447"/>
                <w:sz w:val="17"/>
              </w:rPr>
              <w:t>127.66</w:t>
            </w:r>
          </w:p>
        </w:tc>
        <w:tc>
          <w:tcPr>
            <w:tcW w:type="dxa" w:w="1800"/>
            <w:vAlign w:val="center"/>
          </w:tcPr>
          <w:p>
            <w:pPr>
              <w:jc w:val="left"/>
            </w:pPr>
            <w:r/>
            <w:r>
              <w:rPr>
                <w:b w:val="0"/>
                <w:color w:val="243447"/>
                <w:sz w:val="17"/>
              </w:rPr>
              <w:t>59,050.96</w:t>
            </w:r>
          </w:p>
        </w:tc>
        <w:tc>
          <w:tcPr>
            <w:tcW w:type="dxa" w:w="2232"/>
            <w:vAlign w:val="center"/>
          </w:tcPr>
          <w:p>
            <w:pPr>
              <w:jc w:val="left"/>
            </w:pPr>
            <w:r/>
            <w:r>
              <w:rPr>
                <w:b w:val="0"/>
                <w:color w:val="243447"/>
                <w:sz w:val="17"/>
              </w:rPr>
              <w:t>34.43</w:t>
            </w:r>
          </w:p>
        </w:tc>
      </w:tr>
    </w:tbl>
    <w:p/>
    <w:p>
      <w:r>
        <w:t>The notebook also records the top makes within each cluster. Cluster 0 is led by Tesla, Jeep, BMW, Kia and Ford; Cluster 1 by Tesla, Nissan, Chevrolet, Ford and Toyota; and Cluster 2 by Tesla, Kia, BMW, Volvo and Chrysler.</w:t>
      </w:r>
    </w:p>
    <w:p>
      <w:pPr>
        <w:pStyle w:val="Heading2"/>
        <w:spacing w:before="200" w:after="100"/>
      </w:pPr>
      <w:r>
        <w:t>Cluster Quality</w:t>
      </w:r>
    </w:p>
    <w:tbl>
      <w:tblPr>
        <w:tblW w:type="auto" w:w="0"/>
        <w:jc w:val="center"/>
        <w:tblLook w:firstColumn="1" w:firstRow="1" w:lastColumn="0" w:lastRow="0" w:noHBand="0" w:noVBand="1" w:val="04A0"/>
      </w:tblPr>
      <w:tblGrid>
        <w:gridCol w:w="3408"/>
        <w:gridCol w:w="3408"/>
        <w:gridCol w:w="3408"/>
      </w:tblGrid>
      <w:tr>
        <w:tc>
          <w:tcPr>
            <w:tcW w:type="dxa" w:w="3408"/>
            <w:shd w:fill="EAF2F8"/>
          </w:tcPr>
          <w:p>
            <w:pPr>
              <w:jc w:val="center"/>
            </w:pPr>
            <w:r>
              <w:rPr>
                <w:b/>
                <w:color w:val="17365D"/>
                <w:sz w:val="36"/>
              </w:rPr>
              <w:t>3</w:t>
            </w:r>
            <w:r>
              <w:rPr>
                <w:color w:val="666666"/>
                <w:sz w:val="16"/>
              </w:rPr>
              <w:br/>
              <w:t>Selected k</w:t>
            </w:r>
          </w:p>
        </w:tc>
        <w:tc>
          <w:tcPr>
            <w:tcW w:type="dxa" w:w="3408"/>
            <w:shd w:fill="EAF2F8"/>
          </w:tcPr>
          <w:p>
            <w:pPr>
              <w:jc w:val="center"/>
            </w:pPr>
            <w:r>
              <w:rPr>
                <w:b/>
                <w:color w:val="17365D"/>
                <w:sz w:val="36"/>
              </w:rPr>
              <w:t>0.5052</w:t>
            </w:r>
            <w:r>
              <w:rPr>
                <w:color w:val="666666"/>
                <w:sz w:val="16"/>
              </w:rPr>
              <w:br/>
              <w:t>Silhouette score</w:t>
            </w:r>
          </w:p>
        </w:tc>
        <w:tc>
          <w:tcPr>
            <w:tcW w:type="dxa" w:w="3408"/>
            <w:shd w:fill="EAF2F8"/>
          </w:tcPr>
          <w:p>
            <w:pPr>
              <w:jc w:val="center"/>
            </w:pPr>
            <w:r>
              <w:rPr>
                <w:b/>
                <w:color w:val="17365D"/>
                <w:sz w:val="36"/>
              </w:rPr>
              <w:t>78.31%</w:t>
            </w:r>
            <w:r>
              <w:rPr>
                <w:color w:val="666666"/>
                <w:sz w:val="16"/>
              </w:rPr>
              <w:br/>
              <w:t>Cluster alignment</w:t>
            </w:r>
          </w:p>
        </w:tc>
      </w:tr>
    </w:tbl>
    <w:p/>
    <w:p>
      <w:r>
        <w:t>The silhouette score of 0.5052 indicates the clustering has measurable separation under the notebook's chosen feature representation. The 78.31% alignment figure is calculated by mapping each cluster to its most common EV Type; it should be interpreted as cluster-label alignment rather than supervised classification accuracy.</w:t>
      </w:r>
    </w:p>
    <w:p>
      <w:pPr>
        <w:pStyle w:val="Heading1"/>
        <w:spacing w:before="200" w:after="100"/>
      </w:pPr>
      <w:r>
        <w:t>7. Hierarchical Clustering</w:t>
      </w:r>
    </w:p>
    <w:p>
      <w:r>
        <w:t>Hierarchical clustering is used as a second unsupervised approach. Ward linkage is applied to the first 2,000 scaled observations to keep the dendrogram manageable. Three hierarchical clusters are then extracted and compared with the K-Means labels for the same 2,000-record subset.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312"/>
            <w:vAlign w:val="center"/>
            <w:shd w:fill="17365D"/>
          </w:tcPr>
          <w:p>
            <w:pPr>
              <w:jc w:val="left"/>
            </w:pPr>
            <w:r/>
            <w:r>
              <w:rPr>
                <w:b/>
                <w:color w:val="FFFFFF"/>
                <w:sz w:val="18"/>
              </w:rPr>
              <w:t>K-Means \ Hierarchical</w:t>
            </w:r>
          </w:p>
        </w:tc>
        <w:tc>
          <w:tcPr>
            <w:tcW w:type="dxa" w:w="1440"/>
            <w:vAlign w:val="center"/>
            <w:shd w:fill="17365D"/>
          </w:tcPr>
          <w:p>
            <w:pPr>
              <w:jc w:val="left"/>
            </w:pPr>
            <w:r/>
            <w:r>
              <w:rPr>
                <w:b/>
                <w:color w:val="FFFFFF"/>
                <w:sz w:val="18"/>
              </w:rPr>
              <w:t>H1</w:t>
            </w:r>
          </w:p>
        </w:tc>
        <w:tc>
          <w:tcPr>
            <w:tcW w:type="dxa" w:w="1440"/>
            <w:vAlign w:val="center"/>
            <w:shd w:fill="17365D"/>
          </w:tcPr>
          <w:p>
            <w:pPr>
              <w:jc w:val="left"/>
            </w:pPr>
            <w:r/>
            <w:r>
              <w:rPr>
                <w:b/>
                <w:color w:val="FFFFFF"/>
                <w:sz w:val="18"/>
              </w:rPr>
              <w:t>H2</w:t>
            </w:r>
          </w:p>
        </w:tc>
        <w:tc>
          <w:tcPr>
            <w:tcW w:type="dxa" w:w="1440"/>
            <w:vAlign w:val="center"/>
            <w:shd w:fill="17365D"/>
          </w:tcPr>
          <w:p>
            <w:pPr>
              <w:jc w:val="left"/>
            </w:pPr>
            <w:r/>
            <w:r>
              <w:rPr>
                <w:b/>
                <w:color w:val="FFFFFF"/>
                <w:sz w:val="18"/>
              </w:rPr>
              <w:t>H3</w:t>
            </w:r>
          </w:p>
        </w:tc>
      </w:tr>
      <w:tr>
        <w:tc>
          <w:tcPr>
            <w:tcW w:type="dxa" w:w="3312"/>
            <w:vAlign w:val="center"/>
          </w:tcPr>
          <w:p>
            <w:pPr>
              <w:jc w:val="left"/>
            </w:pPr>
            <w:r/>
            <w:r>
              <w:rPr>
                <w:b w:val="0"/>
                <w:color w:val="243447"/>
                <w:sz w:val="17"/>
              </w:rPr>
              <w:t>K0</w:t>
            </w:r>
          </w:p>
        </w:tc>
        <w:tc>
          <w:tcPr>
            <w:tcW w:type="dxa" w:w="1440"/>
            <w:vAlign w:val="center"/>
          </w:tcPr>
          <w:p>
            <w:pPr>
              <w:jc w:val="left"/>
            </w:pPr>
            <w:r/>
            <w:r>
              <w:rPr>
                <w:b w:val="0"/>
                <w:color w:val="243447"/>
                <w:sz w:val="17"/>
              </w:rPr>
              <w:t>1,289</w:t>
            </w:r>
          </w:p>
        </w:tc>
        <w:tc>
          <w:tcPr>
            <w:tcW w:type="dxa" w:w="1440"/>
            <w:vAlign w:val="center"/>
          </w:tcPr>
          <w:p>
            <w:pPr>
              <w:jc w:val="left"/>
            </w:pPr>
            <w:r/>
            <w:r>
              <w:rPr>
                <w:b w:val="0"/>
                <w:color w:val="243447"/>
                <w:sz w:val="17"/>
              </w:rPr>
              <w:t>0</w:t>
            </w:r>
          </w:p>
        </w:tc>
        <w:tc>
          <w:tcPr>
            <w:tcW w:type="dxa" w:w="1440"/>
            <w:vAlign w:val="center"/>
          </w:tcPr>
          <w:p>
            <w:pPr>
              <w:jc w:val="left"/>
            </w:pPr>
            <w:r/>
            <w:r>
              <w:rPr>
                <w:b w:val="0"/>
                <w:color w:val="243447"/>
                <w:sz w:val="17"/>
              </w:rPr>
              <w:t>21</w:t>
            </w:r>
          </w:p>
        </w:tc>
      </w:tr>
      <w:tr>
        <w:tc>
          <w:tcPr>
            <w:tcW w:type="dxa" w:w="3312"/>
            <w:vAlign w:val="center"/>
          </w:tcPr>
          <w:p>
            <w:pPr>
              <w:jc w:val="left"/>
            </w:pPr>
            <w:r/>
            <w:r>
              <w:rPr>
                <w:b w:val="0"/>
                <w:color w:val="243447"/>
                <w:sz w:val="17"/>
              </w:rPr>
              <w:t>K1</w:t>
            </w:r>
          </w:p>
        </w:tc>
        <w:tc>
          <w:tcPr>
            <w:tcW w:type="dxa" w:w="1440"/>
            <w:vAlign w:val="center"/>
          </w:tcPr>
          <w:p>
            <w:pPr>
              <w:jc w:val="left"/>
            </w:pPr>
            <w:r/>
            <w:r>
              <w:rPr>
                <w:b w:val="0"/>
                <w:color w:val="243447"/>
                <w:sz w:val="17"/>
              </w:rPr>
              <w:t>0</w:t>
            </w:r>
          </w:p>
        </w:tc>
        <w:tc>
          <w:tcPr>
            <w:tcW w:type="dxa" w:w="1440"/>
            <w:vAlign w:val="center"/>
          </w:tcPr>
          <w:p>
            <w:pPr>
              <w:jc w:val="left"/>
            </w:pPr>
            <w:r/>
            <w:r>
              <w:rPr>
                <w:b w:val="0"/>
                <w:color w:val="243447"/>
                <w:sz w:val="17"/>
              </w:rPr>
              <w:t>0</w:t>
            </w:r>
          </w:p>
        </w:tc>
        <w:tc>
          <w:tcPr>
            <w:tcW w:type="dxa" w:w="1440"/>
            <w:vAlign w:val="center"/>
          </w:tcPr>
          <w:p>
            <w:pPr>
              <w:jc w:val="left"/>
            </w:pPr>
            <w:r/>
            <w:r>
              <w:rPr>
                <w:b w:val="0"/>
                <w:color w:val="243447"/>
                <w:sz w:val="17"/>
              </w:rPr>
              <w:t>659</w:t>
            </w:r>
          </w:p>
        </w:tc>
      </w:tr>
      <w:tr>
        <w:tc>
          <w:tcPr>
            <w:tcW w:type="dxa" w:w="3312"/>
            <w:vAlign w:val="center"/>
          </w:tcPr>
          <w:p>
            <w:pPr>
              <w:jc w:val="left"/>
            </w:pPr>
            <w:r/>
            <w:r>
              <w:rPr>
                <w:b w:val="0"/>
                <w:color w:val="243447"/>
                <w:sz w:val="17"/>
              </w:rPr>
              <w:t>K2</w:t>
            </w:r>
          </w:p>
        </w:tc>
        <w:tc>
          <w:tcPr>
            <w:tcW w:type="dxa" w:w="1440"/>
            <w:vAlign w:val="center"/>
          </w:tcPr>
          <w:p>
            <w:pPr>
              <w:jc w:val="left"/>
            </w:pPr>
            <w:r/>
            <w:r>
              <w:rPr>
                <w:b w:val="0"/>
                <w:color w:val="243447"/>
                <w:sz w:val="17"/>
              </w:rPr>
              <w:t>0</w:t>
            </w:r>
          </w:p>
        </w:tc>
        <w:tc>
          <w:tcPr>
            <w:tcW w:type="dxa" w:w="1440"/>
            <w:vAlign w:val="center"/>
          </w:tcPr>
          <w:p>
            <w:pPr>
              <w:jc w:val="left"/>
            </w:pPr>
            <w:r/>
            <w:r>
              <w:rPr>
                <w:b w:val="0"/>
                <w:color w:val="243447"/>
                <w:sz w:val="17"/>
              </w:rPr>
              <w:t>31</w:t>
            </w:r>
          </w:p>
        </w:tc>
        <w:tc>
          <w:tcPr>
            <w:tcW w:type="dxa" w:w="1440"/>
            <w:vAlign w:val="center"/>
          </w:tcPr>
          <w:p>
            <w:pPr>
              <w:jc w:val="left"/>
            </w:pPr>
            <w:r/>
            <w:r>
              <w:rPr>
                <w:b w:val="0"/>
                <w:color w:val="243447"/>
                <w:sz w:val="17"/>
              </w:rPr>
              <w:t>0</w:t>
            </w:r>
          </w:p>
        </w:tc>
      </w:tr>
    </w:tbl>
    <w:p/>
    <w:p>
      <w:r>
        <w:t>The cross-tabulation shows a strong correspondence between several K-Means and hierarchical groupings in the sampled 2,000 observations, while the cluster labels themselves are method-specific and should not be interpreted as having identical semantic meanings simply because the numeric labels match.</w:t>
      </w:r>
    </w:p>
    <w:p>
      <w:pPr>
        <w:pStyle w:val="Heading1"/>
        <w:spacing w:before="200" w:after="100"/>
      </w:pPr>
      <w:r>
        <w:t>8. Supervised Learning – Random Forest</w:t>
      </w:r>
    </w:p>
    <w:p>
      <w:r>
        <w:t>The notebook applies a Random Forest classifier to predict EV Type. Identifier fields such as VIN, DOL Vehicle ID and Vehicle Location are removed from the classifier input. Numerical variables are standardized and categorical variables are one-hot encoded within a preprocessing pipeline.</w:t>
      </w:r>
    </w:p>
    <w:p>
      <w:pPr>
        <w:pStyle w:val="Heading2"/>
        <w:spacing w:before="200" w:after="100"/>
      </w:pPr>
      <w:r>
        <w:t>Cross-Validation Results</w:t>
      </w:r>
    </w:p>
    <w:tbl>
      <w:tblPr>
        <w:tblStyle w:val="TableGrid"/>
        <w:tblW w:type="auto" w:w="0"/>
        <w:jc w:val="center"/>
        <w:tblLook w:firstColumn="1" w:firstRow="1" w:lastColumn="0" w:lastRow="0" w:noHBand="0" w:noVBand="1" w:val="04A0"/>
      </w:tblPr>
      <w:tblGrid>
        <w:gridCol w:w="5112"/>
        <w:gridCol w:w="5112"/>
      </w:tblGrid>
      <w:tr>
        <w:tc>
          <w:tcPr>
            <w:tcW w:type="dxa" w:w="3312"/>
            <w:vAlign w:val="center"/>
            <w:shd w:fill="17365D"/>
          </w:tcPr>
          <w:p>
            <w:pPr>
              <w:jc w:val="left"/>
            </w:pPr>
            <w:r/>
            <w:r>
              <w:rPr>
                <w:b/>
                <w:color w:val="FFFFFF"/>
                <w:sz w:val="18"/>
              </w:rPr>
              <w:t>Fold</w:t>
            </w:r>
          </w:p>
        </w:tc>
        <w:tc>
          <w:tcPr>
            <w:tcW w:type="dxa" w:w="2880"/>
            <w:vAlign w:val="center"/>
            <w:shd w:fill="17365D"/>
          </w:tcPr>
          <w:p>
            <w:pPr>
              <w:jc w:val="left"/>
            </w:pPr>
            <w:r/>
            <w:r>
              <w:rPr>
                <w:b/>
                <w:color w:val="FFFFFF"/>
                <w:sz w:val="18"/>
              </w:rPr>
              <w:t>Accuracy</w:t>
            </w:r>
          </w:p>
        </w:tc>
      </w:tr>
      <w:tr>
        <w:tc>
          <w:tcPr>
            <w:tcW w:type="dxa" w:w="3312"/>
            <w:vAlign w:val="center"/>
          </w:tcPr>
          <w:p>
            <w:pPr>
              <w:jc w:val="left"/>
            </w:pPr>
            <w:r/>
            <w:r>
              <w:rPr>
                <w:b w:val="0"/>
                <w:color w:val="243447"/>
                <w:sz w:val="17"/>
              </w:rPr>
              <w:t>1</w:t>
            </w:r>
          </w:p>
        </w:tc>
        <w:tc>
          <w:tcPr>
            <w:tcW w:type="dxa" w:w="2880"/>
            <w:vAlign w:val="center"/>
          </w:tcPr>
          <w:p>
            <w:pPr>
              <w:jc w:val="left"/>
            </w:pPr>
            <w:r/>
            <w:r>
              <w:rPr>
                <w:b w:val="0"/>
                <w:color w:val="243447"/>
                <w:sz w:val="17"/>
              </w:rPr>
              <w:t>0.9975</w:t>
            </w:r>
          </w:p>
        </w:tc>
      </w:tr>
      <w:tr>
        <w:tc>
          <w:tcPr>
            <w:tcW w:type="dxa" w:w="3312"/>
            <w:vAlign w:val="center"/>
          </w:tcPr>
          <w:p>
            <w:pPr>
              <w:jc w:val="left"/>
            </w:pPr>
            <w:r/>
            <w:r>
              <w:rPr>
                <w:b w:val="0"/>
                <w:color w:val="243447"/>
                <w:sz w:val="17"/>
              </w:rPr>
              <w:t>2</w:t>
            </w:r>
          </w:p>
        </w:tc>
        <w:tc>
          <w:tcPr>
            <w:tcW w:type="dxa" w:w="2880"/>
            <w:vAlign w:val="center"/>
          </w:tcPr>
          <w:p>
            <w:pPr>
              <w:jc w:val="left"/>
            </w:pPr>
            <w:r/>
            <w:r>
              <w:rPr>
                <w:b w:val="0"/>
                <w:color w:val="243447"/>
                <w:sz w:val="17"/>
              </w:rPr>
              <w:t>0.9990</w:t>
            </w:r>
          </w:p>
        </w:tc>
      </w:tr>
      <w:tr>
        <w:tc>
          <w:tcPr>
            <w:tcW w:type="dxa" w:w="3312"/>
            <w:vAlign w:val="center"/>
          </w:tcPr>
          <w:p>
            <w:pPr>
              <w:jc w:val="left"/>
            </w:pPr>
            <w:r/>
            <w:r>
              <w:rPr>
                <w:b w:val="0"/>
                <w:color w:val="243447"/>
                <w:sz w:val="17"/>
              </w:rPr>
              <w:t>3</w:t>
            </w:r>
          </w:p>
        </w:tc>
        <w:tc>
          <w:tcPr>
            <w:tcW w:type="dxa" w:w="2880"/>
            <w:vAlign w:val="center"/>
          </w:tcPr>
          <w:p>
            <w:pPr>
              <w:jc w:val="left"/>
            </w:pPr>
            <w:r/>
            <w:r>
              <w:rPr>
                <w:b w:val="0"/>
                <w:color w:val="243447"/>
                <w:sz w:val="17"/>
              </w:rPr>
              <w:t>0.9985</w:t>
            </w:r>
          </w:p>
        </w:tc>
      </w:tr>
      <w:tr>
        <w:tc>
          <w:tcPr>
            <w:tcW w:type="dxa" w:w="3312"/>
            <w:vAlign w:val="center"/>
          </w:tcPr>
          <w:p>
            <w:pPr>
              <w:jc w:val="left"/>
            </w:pPr>
            <w:r/>
            <w:r>
              <w:rPr>
                <w:b w:val="0"/>
                <w:color w:val="243447"/>
                <w:sz w:val="17"/>
              </w:rPr>
              <w:t>4</w:t>
            </w:r>
          </w:p>
        </w:tc>
        <w:tc>
          <w:tcPr>
            <w:tcW w:type="dxa" w:w="2880"/>
            <w:vAlign w:val="center"/>
          </w:tcPr>
          <w:p>
            <w:pPr>
              <w:jc w:val="left"/>
            </w:pPr>
            <w:r/>
            <w:r>
              <w:rPr>
                <w:b w:val="0"/>
                <w:color w:val="243447"/>
                <w:sz w:val="17"/>
              </w:rPr>
              <w:t>0.9990</w:t>
            </w:r>
          </w:p>
        </w:tc>
      </w:tr>
      <w:tr>
        <w:tc>
          <w:tcPr>
            <w:tcW w:type="dxa" w:w="3312"/>
            <w:vAlign w:val="center"/>
          </w:tcPr>
          <w:p>
            <w:pPr>
              <w:jc w:val="left"/>
            </w:pPr>
            <w:r/>
            <w:r>
              <w:rPr>
                <w:b w:val="0"/>
                <w:color w:val="243447"/>
                <w:sz w:val="17"/>
              </w:rPr>
              <w:t>5</w:t>
            </w:r>
          </w:p>
        </w:tc>
        <w:tc>
          <w:tcPr>
            <w:tcW w:type="dxa" w:w="2880"/>
            <w:vAlign w:val="center"/>
          </w:tcPr>
          <w:p>
            <w:pPr>
              <w:jc w:val="left"/>
            </w:pPr>
            <w:r/>
            <w:r>
              <w:rPr>
                <w:b w:val="0"/>
                <w:color w:val="243447"/>
                <w:sz w:val="17"/>
              </w:rPr>
              <w:t>0.9985</w:t>
            </w:r>
          </w:p>
        </w:tc>
      </w:tr>
      <w:tr>
        <w:tc>
          <w:tcPr>
            <w:tcW w:type="dxa" w:w="3312"/>
            <w:vAlign w:val="center"/>
          </w:tcPr>
          <w:p>
            <w:pPr>
              <w:jc w:val="left"/>
            </w:pPr>
            <w:r/>
            <w:r>
              <w:rPr>
                <w:b w:val="0"/>
                <w:color w:val="243447"/>
                <w:sz w:val="17"/>
              </w:rPr>
              <w:t>Mean</w:t>
            </w:r>
          </w:p>
        </w:tc>
        <w:tc>
          <w:tcPr>
            <w:tcW w:type="dxa" w:w="2880"/>
            <w:vAlign w:val="center"/>
          </w:tcPr>
          <w:p>
            <w:pPr>
              <w:jc w:val="left"/>
            </w:pPr>
            <w:r/>
            <w:r>
              <w:rPr>
                <w:b w:val="0"/>
                <w:color w:val="243447"/>
                <w:sz w:val="17"/>
              </w:rPr>
              <w:t>0.9985</w:t>
            </w:r>
          </w:p>
        </w:tc>
      </w:tr>
      <w:tr>
        <w:tc>
          <w:tcPr>
            <w:tcW w:type="dxa" w:w="3312"/>
            <w:vAlign w:val="center"/>
          </w:tcPr>
          <w:p>
            <w:pPr>
              <w:jc w:val="left"/>
            </w:pPr>
            <w:r/>
            <w:r>
              <w:rPr>
                <w:b w:val="0"/>
                <w:color w:val="243447"/>
                <w:sz w:val="17"/>
              </w:rPr>
              <w:t>Std. deviation</w:t>
            </w:r>
          </w:p>
        </w:tc>
        <w:tc>
          <w:tcPr>
            <w:tcW w:type="dxa" w:w="2880"/>
            <w:vAlign w:val="center"/>
          </w:tcPr>
          <w:p>
            <w:pPr>
              <w:jc w:val="left"/>
            </w:pPr>
            <w:r/>
            <w:r>
              <w:rPr>
                <w:b w:val="0"/>
                <w:color w:val="243447"/>
                <w:sz w:val="17"/>
              </w:rPr>
              <w:t>0.0005</w:t>
            </w:r>
          </w:p>
        </w:tc>
      </w:tr>
    </w:tbl>
    <w:p/>
    <w:p>
      <w:pPr>
        <w:jc w:val="center"/>
      </w:pPr>
      <w:r>
        <w:drawing>
          <wp:inline xmlns:a="http://schemas.openxmlformats.org/drawingml/2006/main" xmlns:pic="http://schemas.openxmlformats.org/drawingml/2006/picture">
            <wp:extent cx="5303520" cy="3366024"/>
            <wp:docPr id="3" name="Picture 3"/>
            <wp:cNvGraphicFramePr>
              <a:graphicFrameLocks noChangeAspect="1"/>
            </wp:cNvGraphicFramePr>
            <a:graphic>
              <a:graphicData uri="http://schemas.openxmlformats.org/drawingml/2006/picture">
                <pic:pic>
                  <pic:nvPicPr>
                    <pic:cNvPr id="0" name="model_comparison.png"/>
                    <pic:cNvPicPr/>
                  </pic:nvPicPr>
                  <pic:blipFill>
                    <a:blip r:embed="rId13"/>
                    <a:stretch>
                      <a:fillRect/>
                    </a:stretch>
                  </pic:blipFill>
                  <pic:spPr>
                    <a:xfrm>
                      <a:off x="0" y="0"/>
                      <a:ext cx="5303520" cy="3366024"/>
                    </a:xfrm>
                    <a:prstGeom prst="rect"/>
                  </pic:spPr>
                </pic:pic>
              </a:graphicData>
            </a:graphic>
          </wp:inline>
        </w:drawing>
      </w:r>
    </w:p>
    <w:p>
      <w:pPr>
        <w:jc w:val="center"/>
      </w:pPr>
      <w:r>
        <w:rPr>
          <w:i/>
        </w:rPr>
        <w:t>Figure 3. Mean five-fold Random Forest accuracy with and without PCA-transformed features.</w:t>
      </w:r>
    </w:p>
    <w:p>
      <w:pPr>
        <w:pStyle w:val="Heading2"/>
        <w:spacing w:before="200" w:after="100"/>
      </w:pPr>
      <w:r>
        <w:t>Feature Importance</w:t>
      </w:r>
    </w:p>
    <w:p>
      <w:r>
        <w:t>The recorded Random Forest feature-importance output identifies Electric Range as the largest individual feature importance, followed by CAFV categories and several make/model indicators.</w:t>
      </w:r>
    </w:p>
    <w:p>
      <w:pPr>
        <w:jc w:val="center"/>
      </w:pPr>
      <w:r>
        <w:drawing>
          <wp:inline xmlns:a="http://schemas.openxmlformats.org/drawingml/2006/main" xmlns:pic="http://schemas.openxmlformats.org/drawingml/2006/picture">
            <wp:extent cx="5486400" cy="3257666"/>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4"/>
                    <a:stretch>
                      <a:fillRect/>
                    </a:stretch>
                  </pic:blipFill>
                  <pic:spPr>
                    <a:xfrm>
                      <a:off x="0" y="0"/>
                      <a:ext cx="5486400" cy="3257666"/>
                    </a:xfrm>
                    <a:prstGeom prst="rect"/>
                  </pic:spPr>
                </pic:pic>
              </a:graphicData>
            </a:graphic>
          </wp:inline>
        </w:drawing>
      </w:r>
    </w:p>
    <w:p>
      <w:pPr>
        <w:jc w:val="center"/>
      </w:pPr>
      <w:r>
        <w:rPr>
          <w:i/>
        </w:rPr>
        <w:t>Figure 4. Top 10 feature importances recorded from the Random Forest model.</w:t>
      </w:r>
    </w:p>
    <w:tbl>
      <w:tblPr>
        <w:tblStyle w:val="TableGrid"/>
        <w:tblW w:type="auto" w:w="0"/>
        <w:jc w:val="center"/>
        <w:tblLook w:firstColumn="1" w:firstRow="1" w:lastColumn="0" w:lastRow="0" w:noHBand="0" w:noVBand="1" w:val="04A0"/>
      </w:tblPr>
      <w:tblGrid>
        <w:gridCol w:w="3408"/>
        <w:gridCol w:w="3408"/>
        <w:gridCol w:w="3408"/>
      </w:tblGrid>
      <w:tr>
        <w:tc>
          <w:tcPr>
            <w:tcW w:type="dxa" w:w="864"/>
            <w:vAlign w:val="center"/>
            <w:shd w:fill="17365D"/>
          </w:tcPr>
          <w:p>
            <w:pPr>
              <w:jc w:val="left"/>
            </w:pPr>
            <w:r/>
            <w:r>
              <w:rPr>
                <w:b/>
                <w:color w:val="FFFFFF"/>
                <w:sz w:val="18"/>
              </w:rPr>
              <w:t>Rank</w:t>
            </w:r>
          </w:p>
        </w:tc>
        <w:tc>
          <w:tcPr>
            <w:tcW w:type="dxa" w:w="4896"/>
            <w:vAlign w:val="center"/>
            <w:shd w:fill="17365D"/>
          </w:tcPr>
          <w:p>
            <w:pPr>
              <w:jc w:val="left"/>
            </w:pPr>
            <w:r/>
            <w:r>
              <w:rPr>
                <w:b/>
                <w:color w:val="FFFFFF"/>
                <w:sz w:val="18"/>
              </w:rPr>
              <w:t>Feature</w:t>
            </w:r>
          </w:p>
        </w:tc>
        <w:tc>
          <w:tcPr>
            <w:tcW w:type="dxa" w:w="1872"/>
            <w:vAlign w:val="center"/>
            <w:shd w:fill="17365D"/>
          </w:tcPr>
          <w:p>
            <w:pPr>
              <w:jc w:val="left"/>
            </w:pPr>
            <w:r/>
            <w:r>
              <w:rPr>
                <w:b/>
                <w:color w:val="FFFFFF"/>
                <w:sz w:val="18"/>
              </w:rPr>
              <w:t>Importance</w:t>
            </w:r>
          </w:p>
        </w:tc>
      </w:tr>
      <w:tr>
        <w:tc>
          <w:tcPr>
            <w:tcW w:type="dxa" w:w="864"/>
            <w:vAlign w:val="center"/>
          </w:tcPr>
          <w:p>
            <w:pPr>
              <w:jc w:val="left"/>
            </w:pPr>
            <w:r/>
            <w:r>
              <w:rPr>
                <w:b w:val="0"/>
                <w:color w:val="243447"/>
                <w:sz w:val="17"/>
              </w:rPr>
              <w:t>1</w:t>
            </w:r>
          </w:p>
        </w:tc>
        <w:tc>
          <w:tcPr>
            <w:tcW w:type="dxa" w:w="4896"/>
            <w:vAlign w:val="center"/>
          </w:tcPr>
          <w:p>
            <w:pPr>
              <w:jc w:val="left"/>
            </w:pPr>
            <w:r/>
            <w:r>
              <w:rPr>
                <w:b w:val="0"/>
                <w:color w:val="243447"/>
                <w:sz w:val="17"/>
              </w:rPr>
              <w:t>Electric Range</w:t>
            </w:r>
          </w:p>
        </w:tc>
        <w:tc>
          <w:tcPr>
            <w:tcW w:type="dxa" w:w="1872"/>
            <w:vAlign w:val="center"/>
          </w:tcPr>
          <w:p>
            <w:pPr>
              <w:jc w:val="left"/>
            </w:pPr>
            <w:r/>
            <w:r>
              <w:rPr>
                <w:b w:val="0"/>
                <w:color w:val="243447"/>
                <w:sz w:val="17"/>
              </w:rPr>
              <w:t>0.223896</w:t>
            </w:r>
          </w:p>
        </w:tc>
      </w:tr>
      <w:tr>
        <w:tc>
          <w:tcPr>
            <w:tcW w:type="dxa" w:w="864"/>
            <w:vAlign w:val="center"/>
          </w:tcPr>
          <w:p>
            <w:pPr>
              <w:jc w:val="left"/>
            </w:pPr>
            <w:r/>
            <w:r>
              <w:rPr>
                <w:b w:val="0"/>
                <w:color w:val="243447"/>
                <w:sz w:val="17"/>
              </w:rPr>
              <w:t>2</w:t>
            </w:r>
          </w:p>
        </w:tc>
        <w:tc>
          <w:tcPr>
            <w:tcW w:type="dxa" w:w="4896"/>
            <w:vAlign w:val="center"/>
          </w:tcPr>
          <w:p>
            <w:pPr>
              <w:jc w:val="left"/>
            </w:pPr>
            <w:r/>
            <w:r>
              <w:rPr>
                <w:b w:val="0"/>
                <w:color w:val="243447"/>
                <w:sz w:val="17"/>
              </w:rPr>
              <w:t>CAFV – not eligible</w:t>
            </w:r>
          </w:p>
        </w:tc>
        <w:tc>
          <w:tcPr>
            <w:tcW w:type="dxa" w:w="1872"/>
            <w:vAlign w:val="center"/>
          </w:tcPr>
          <w:p>
            <w:pPr>
              <w:jc w:val="left"/>
            </w:pPr>
            <w:r/>
            <w:r>
              <w:rPr>
                <w:b w:val="0"/>
                <w:color w:val="243447"/>
                <w:sz w:val="17"/>
              </w:rPr>
              <w:t>0.175419</w:t>
            </w:r>
          </w:p>
        </w:tc>
      </w:tr>
      <w:tr>
        <w:tc>
          <w:tcPr>
            <w:tcW w:type="dxa" w:w="864"/>
            <w:vAlign w:val="center"/>
          </w:tcPr>
          <w:p>
            <w:pPr>
              <w:jc w:val="left"/>
            </w:pPr>
            <w:r/>
            <w:r>
              <w:rPr>
                <w:b w:val="0"/>
                <w:color w:val="243447"/>
                <w:sz w:val="17"/>
              </w:rPr>
              <w:t>3</w:t>
            </w:r>
          </w:p>
        </w:tc>
        <w:tc>
          <w:tcPr>
            <w:tcW w:type="dxa" w:w="4896"/>
            <w:vAlign w:val="center"/>
          </w:tcPr>
          <w:p>
            <w:pPr>
              <w:jc w:val="left"/>
            </w:pPr>
            <w:r/>
            <w:r>
              <w:rPr>
                <w:b w:val="0"/>
                <w:color w:val="243447"/>
                <w:sz w:val="17"/>
              </w:rPr>
              <w:t>CAFV – unknown</w:t>
            </w:r>
          </w:p>
        </w:tc>
        <w:tc>
          <w:tcPr>
            <w:tcW w:type="dxa" w:w="1872"/>
            <w:vAlign w:val="center"/>
          </w:tcPr>
          <w:p>
            <w:pPr>
              <w:jc w:val="left"/>
            </w:pPr>
            <w:r/>
            <w:r>
              <w:rPr>
                <w:b w:val="0"/>
                <w:color w:val="243447"/>
                <w:sz w:val="17"/>
              </w:rPr>
              <w:t>0.071524</w:t>
            </w:r>
          </w:p>
        </w:tc>
      </w:tr>
      <w:tr>
        <w:tc>
          <w:tcPr>
            <w:tcW w:type="dxa" w:w="864"/>
            <w:vAlign w:val="center"/>
          </w:tcPr>
          <w:p>
            <w:pPr>
              <w:jc w:val="left"/>
            </w:pPr>
            <w:r/>
            <w:r>
              <w:rPr>
                <w:b w:val="0"/>
                <w:color w:val="243447"/>
                <w:sz w:val="17"/>
              </w:rPr>
              <w:t>4</w:t>
            </w:r>
          </w:p>
        </w:tc>
        <w:tc>
          <w:tcPr>
            <w:tcW w:type="dxa" w:w="4896"/>
            <w:vAlign w:val="center"/>
          </w:tcPr>
          <w:p>
            <w:pPr>
              <w:jc w:val="left"/>
            </w:pPr>
            <w:r/>
            <w:r>
              <w:rPr>
                <w:b w:val="0"/>
                <w:color w:val="243447"/>
                <w:sz w:val="17"/>
              </w:rPr>
              <w:t>Make – TESLA</w:t>
            </w:r>
          </w:p>
        </w:tc>
        <w:tc>
          <w:tcPr>
            <w:tcW w:type="dxa" w:w="1872"/>
            <w:vAlign w:val="center"/>
          </w:tcPr>
          <w:p>
            <w:pPr>
              <w:jc w:val="left"/>
            </w:pPr>
            <w:r/>
            <w:r>
              <w:rPr>
                <w:b w:val="0"/>
                <w:color w:val="243447"/>
                <w:sz w:val="17"/>
              </w:rPr>
              <w:t>0.062556</w:t>
            </w:r>
          </w:p>
        </w:tc>
      </w:tr>
      <w:tr>
        <w:tc>
          <w:tcPr>
            <w:tcW w:type="dxa" w:w="864"/>
            <w:vAlign w:val="center"/>
          </w:tcPr>
          <w:p>
            <w:pPr>
              <w:jc w:val="left"/>
            </w:pPr>
            <w:r/>
            <w:r>
              <w:rPr>
                <w:b w:val="0"/>
                <w:color w:val="243447"/>
                <w:sz w:val="17"/>
              </w:rPr>
              <w:t>5</w:t>
            </w:r>
          </w:p>
        </w:tc>
        <w:tc>
          <w:tcPr>
            <w:tcW w:type="dxa" w:w="4896"/>
            <w:vAlign w:val="center"/>
          </w:tcPr>
          <w:p>
            <w:pPr>
              <w:jc w:val="left"/>
            </w:pPr>
            <w:r/>
            <w:r>
              <w:rPr>
                <w:b w:val="0"/>
                <w:color w:val="243447"/>
                <w:sz w:val="17"/>
              </w:rPr>
              <w:t>Model Year</w:t>
            </w:r>
          </w:p>
        </w:tc>
        <w:tc>
          <w:tcPr>
            <w:tcW w:type="dxa" w:w="1872"/>
            <w:vAlign w:val="center"/>
          </w:tcPr>
          <w:p>
            <w:pPr>
              <w:jc w:val="left"/>
            </w:pPr>
            <w:r/>
            <w:r>
              <w:rPr>
                <w:b w:val="0"/>
                <w:color w:val="243447"/>
                <w:sz w:val="17"/>
              </w:rPr>
              <w:t>0.047696</w:t>
            </w:r>
          </w:p>
        </w:tc>
      </w:tr>
      <w:tr>
        <w:tc>
          <w:tcPr>
            <w:tcW w:type="dxa" w:w="864"/>
            <w:vAlign w:val="center"/>
          </w:tcPr>
          <w:p>
            <w:pPr>
              <w:jc w:val="left"/>
            </w:pPr>
            <w:r/>
            <w:r>
              <w:rPr>
                <w:b w:val="0"/>
                <w:color w:val="243447"/>
                <w:sz w:val="17"/>
              </w:rPr>
              <w:t>6</w:t>
            </w:r>
          </w:p>
        </w:tc>
        <w:tc>
          <w:tcPr>
            <w:tcW w:type="dxa" w:w="4896"/>
            <w:vAlign w:val="center"/>
          </w:tcPr>
          <w:p>
            <w:pPr>
              <w:jc w:val="left"/>
            </w:pPr>
            <w:r/>
            <w:r>
              <w:rPr>
                <w:b w:val="0"/>
                <w:color w:val="243447"/>
                <w:sz w:val="17"/>
              </w:rPr>
              <w:t>CAFV – known</w:t>
            </w:r>
          </w:p>
        </w:tc>
        <w:tc>
          <w:tcPr>
            <w:tcW w:type="dxa" w:w="1872"/>
            <w:vAlign w:val="center"/>
          </w:tcPr>
          <w:p>
            <w:pPr>
              <w:jc w:val="left"/>
            </w:pPr>
            <w:r/>
            <w:r>
              <w:rPr>
                <w:b w:val="0"/>
                <w:color w:val="243447"/>
                <w:sz w:val="17"/>
              </w:rPr>
              <w:t>0.040560</w:t>
            </w:r>
          </w:p>
        </w:tc>
      </w:tr>
      <w:tr>
        <w:tc>
          <w:tcPr>
            <w:tcW w:type="dxa" w:w="864"/>
            <w:vAlign w:val="center"/>
          </w:tcPr>
          <w:p>
            <w:pPr>
              <w:jc w:val="left"/>
            </w:pPr>
            <w:r/>
            <w:r>
              <w:rPr>
                <w:b w:val="0"/>
                <w:color w:val="243447"/>
                <w:sz w:val="17"/>
              </w:rPr>
              <w:t>7</w:t>
            </w:r>
          </w:p>
        </w:tc>
        <w:tc>
          <w:tcPr>
            <w:tcW w:type="dxa" w:w="4896"/>
            <w:vAlign w:val="center"/>
          </w:tcPr>
          <w:p>
            <w:pPr>
              <w:jc w:val="left"/>
            </w:pPr>
            <w:r/>
            <w:r>
              <w:rPr>
                <w:b w:val="0"/>
                <w:color w:val="243447"/>
                <w:sz w:val="17"/>
              </w:rPr>
              <w:t>Model – VOLT</w:t>
            </w:r>
          </w:p>
        </w:tc>
        <w:tc>
          <w:tcPr>
            <w:tcW w:type="dxa" w:w="1872"/>
            <w:vAlign w:val="center"/>
          </w:tcPr>
          <w:p>
            <w:pPr>
              <w:jc w:val="left"/>
            </w:pPr>
            <w:r/>
            <w:r>
              <w:rPr>
                <w:b w:val="0"/>
                <w:color w:val="243447"/>
                <w:sz w:val="17"/>
              </w:rPr>
              <w:t>0.035240</w:t>
            </w:r>
          </w:p>
        </w:tc>
      </w:tr>
      <w:tr>
        <w:tc>
          <w:tcPr>
            <w:tcW w:type="dxa" w:w="864"/>
            <w:vAlign w:val="center"/>
          </w:tcPr>
          <w:p>
            <w:pPr>
              <w:jc w:val="left"/>
            </w:pPr>
            <w:r/>
            <w:r>
              <w:rPr>
                <w:b w:val="0"/>
                <w:color w:val="243447"/>
                <w:sz w:val="17"/>
              </w:rPr>
              <w:t>8</w:t>
            </w:r>
          </w:p>
        </w:tc>
        <w:tc>
          <w:tcPr>
            <w:tcW w:type="dxa" w:w="4896"/>
            <w:vAlign w:val="center"/>
          </w:tcPr>
          <w:p>
            <w:pPr>
              <w:jc w:val="left"/>
            </w:pPr>
            <w:r/>
            <w:r>
              <w:rPr>
                <w:b w:val="0"/>
                <w:color w:val="243447"/>
                <w:sz w:val="17"/>
              </w:rPr>
              <w:t>Make – TOYOTA</w:t>
            </w:r>
          </w:p>
        </w:tc>
        <w:tc>
          <w:tcPr>
            <w:tcW w:type="dxa" w:w="1872"/>
            <w:vAlign w:val="center"/>
          </w:tcPr>
          <w:p>
            <w:pPr>
              <w:jc w:val="left"/>
            </w:pPr>
            <w:r/>
            <w:r>
              <w:rPr>
                <w:b w:val="0"/>
                <w:color w:val="243447"/>
                <w:sz w:val="17"/>
              </w:rPr>
              <w:t>0.027008</w:t>
            </w:r>
          </w:p>
        </w:tc>
      </w:tr>
      <w:tr>
        <w:tc>
          <w:tcPr>
            <w:tcW w:type="dxa" w:w="864"/>
            <w:vAlign w:val="center"/>
          </w:tcPr>
          <w:p>
            <w:pPr>
              <w:jc w:val="left"/>
            </w:pPr>
            <w:r/>
            <w:r>
              <w:rPr>
                <w:b w:val="0"/>
                <w:color w:val="243447"/>
                <w:sz w:val="17"/>
              </w:rPr>
              <w:t>9</w:t>
            </w:r>
          </w:p>
        </w:tc>
        <w:tc>
          <w:tcPr>
            <w:tcW w:type="dxa" w:w="4896"/>
            <w:vAlign w:val="center"/>
          </w:tcPr>
          <w:p>
            <w:pPr>
              <w:jc w:val="left"/>
            </w:pPr>
            <w:r/>
            <w:r>
              <w:rPr>
                <w:b w:val="0"/>
                <w:color w:val="243447"/>
                <w:sz w:val="17"/>
              </w:rPr>
              <w:t>Make – JEEP</w:t>
            </w:r>
          </w:p>
        </w:tc>
        <w:tc>
          <w:tcPr>
            <w:tcW w:type="dxa" w:w="1872"/>
            <w:vAlign w:val="center"/>
          </w:tcPr>
          <w:p>
            <w:pPr>
              <w:jc w:val="left"/>
            </w:pPr>
            <w:r/>
            <w:r>
              <w:rPr>
                <w:b w:val="0"/>
                <w:color w:val="243447"/>
                <w:sz w:val="17"/>
              </w:rPr>
              <w:t>0.026701</w:t>
            </w:r>
          </w:p>
        </w:tc>
      </w:tr>
      <w:tr>
        <w:tc>
          <w:tcPr>
            <w:tcW w:type="dxa" w:w="864"/>
            <w:vAlign w:val="center"/>
          </w:tcPr>
          <w:p>
            <w:pPr>
              <w:jc w:val="left"/>
            </w:pPr>
            <w:r/>
            <w:r>
              <w:rPr>
                <w:b w:val="0"/>
                <w:color w:val="243447"/>
                <w:sz w:val="17"/>
              </w:rPr>
              <w:t>10</w:t>
            </w:r>
          </w:p>
        </w:tc>
        <w:tc>
          <w:tcPr>
            <w:tcW w:type="dxa" w:w="4896"/>
            <w:vAlign w:val="center"/>
          </w:tcPr>
          <w:p>
            <w:pPr>
              <w:jc w:val="left"/>
            </w:pPr>
            <w:r/>
            <w:r>
              <w:rPr>
                <w:b w:val="0"/>
                <w:color w:val="243447"/>
                <w:sz w:val="17"/>
              </w:rPr>
              <w:t>Model – WRANGLER</w:t>
            </w:r>
          </w:p>
        </w:tc>
        <w:tc>
          <w:tcPr>
            <w:tcW w:type="dxa" w:w="1872"/>
            <w:vAlign w:val="center"/>
          </w:tcPr>
          <w:p>
            <w:pPr>
              <w:jc w:val="left"/>
            </w:pPr>
            <w:r/>
            <w:r>
              <w:rPr>
                <w:b w:val="0"/>
                <w:color w:val="243447"/>
                <w:sz w:val="17"/>
              </w:rPr>
              <w:t>0.022559</w:t>
            </w:r>
          </w:p>
        </w:tc>
      </w:tr>
    </w:tbl>
    <w:p/>
    <w:p>
      <w:pPr>
        <w:pStyle w:val="Heading1"/>
        <w:spacing w:before="200" w:after="100"/>
      </w:pPr>
      <w:r>
        <w:t>9. Principal Component Analysis (PCA)</w:t>
      </w:r>
    </w:p>
    <w:p>
      <w:r>
        <w:t>PCA is applied to the seven numerical variables after missing values are filled with the mean and the features are standardized. The notebook determines the number of components required to reach at least 95% cumulative explained variance.</w:t>
      </w:r>
    </w:p>
    <w:tbl>
      <w:tblPr>
        <w:tblW w:type="auto" w:w="0"/>
        <w:jc w:val="center"/>
        <w:tblLook w:firstColumn="1" w:firstRow="1" w:lastColumn="0" w:lastRow="0" w:noHBand="0" w:noVBand="1" w:val="04A0"/>
      </w:tblPr>
      <w:tblGrid>
        <w:gridCol w:w="3408"/>
        <w:gridCol w:w="3408"/>
        <w:gridCol w:w="3408"/>
      </w:tblGrid>
      <w:tr>
        <w:tc>
          <w:tcPr>
            <w:tcW w:type="dxa" w:w="3408"/>
            <w:shd w:fill="EAF2F8"/>
          </w:tcPr>
          <w:p>
            <w:pPr>
              <w:jc w:val="center"/>
            </w:pPr>
            <w:r>
              <w:rPr>
                <w:b/>
                <w:color w:val="17365D"/>
                <w:sz w:val="36"/>
              </w:rPr>
              <w:t>9,998 × 7</w:t>
            </w:r>
            <w:r>
              <w:rPr>
                <w:color w:val="666666"/>
                <w:sz w:val="16"/>
              </w:rPr>
              <w:br/>
              <w:t>Scaled data shape</w:t>
            </w:r>
          </w:p>
        </w:tc>
        <w:tc>
          <w:tcPr>
            <w:tcW w:type="dxa" w:w="3408"/>
            <w:shd w:fill="EAF2F8"/>
          </w:tcPr>
          <w:p>
            <w:pPr>
              <w:jc w:val="center"/>
            </w:pPr>
            <w:r>
              <w:rPr>
                <w:b/>
                <w:color w:val="17365D"/>
                <w:sz w:val="36"/>
              </w:rPr>
              <w:t>7</w:t>
            </w:r>
            <w:r>
              <w:rPr>
                <w:color w:val="666666"/>
                <w:sz w:val="16"/>
              </w:rPr>
              <w:br/>
              <w:t>Components for ≥95% variance</w:t>
            </w:r>
          </w:p>
        </w:tc>
        <w:tc>
          <w:tcPr>
            <w:tcW w:type="dxa" w:w="3408"/>
            <w:shd w:fill="EAF2F8"/>
          </w:tcPr>
          <w:p>
            <w:pPr>
              <w:jc w:val="center"/>
            </w:pPr>
            <w:r>
              <w:rPr>
                <w:b/>
                <w:color w:val="17365D"/>
                <w:sz w:val="36"/>
              </w:rPr>
              <w:t>1.0000</w:t>
            </w:r>
            <w:r>
              <w:rPr>
                <w:color w:val="666666"/>
                <w:sz w:val="16"/>
              </w:rPr>
              <w:br/>
              <w:t>Cumulative variance</w:t>
            </w:r>
          </w:p>
        </w:tc>
      </w:tr>
    </w:tbl>
    <w:p/>
    <w:p>
      <w:r>
        <w:t>The recorded result is seven components, meaning all seven numerical dimensions were retained to reach the 95% threshold. The resulting transformed dataset therefore remains 9,998 × 7.</w:t>
      </w:r>
    </w:p>
    <w:p>
      <w:pPr>
        <w:pStyle w:val="Heading2"/>
        <w:spacing w:before="200" w:after="100"/>
      </w:pPr>
      <w:r>
        <w:t>Random Forest on PCA Features</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center"/>
            <w:shd w:fill="17365D"/>
          </w:tcPr>
          <w:p>
            <w:pPr>
              <w:jc w:val="left"/>
            </w:pPr>
            <w:r/>
            <w:r>
              <w:rPr>
                <w:b/>
                <w:color w:val="FFFFFF"/>
                <w:sz w:val="18"/>
              </w:rPr>
              <w:t>Metric</w:t>
            </w:r>
          </w:p>
        </w:tc>
        <w:tc>
          <w:tcPr>
            <w:tcW w:type="dxa" w:w="2592"/>
            <w:vAlign w:val="center"/>
            <w:shd w:fill="17365D"/>
          </w:tcPr>
          <w:p>
            <w:pPr>
              <w:jc w:val="left"/>
            </w:pPr>
            <w:r/>
            <w:r>
              <w:rPr>
                <w:b/>
                <w:color w:val="FFFFFF"/>
                <w:sz w:val="18"/>
              </w:rPr>
              <w:t>Full feature pipeline</w:t>
            </w:r>
          </w:p>
        </w:tc>
        <w:tc>
          <w:tcPr>
            <w:tcW w:type="dxa" w:w="2592"/>
            <w:vAlign w:val="center"/>
            <w:shd w:fill="17365D"/>
          </w:tcPr>
          <w:p>
            <w:pPr>
              <w:jc w:val="left"/>
            </w:pPr>
            <w:r/>
            <w:r>
              <w:rPr>
                <w:b/>
                <w:color w:val="FFFFFF"/>
                <w:sz w:val="18"/>
              </w:rPr>
              <w:t>7 PCA components</w:t>
            </w:r>
          </w:p>
        </w:tc>
      </w:tr>
      <w:tr>
        <w:tc>
          <w:tcPr>
            <w:tcW w:type="dxa" w:w="3168"/>
            <w:vAlign w:val="center"/>
          </w:tcPr>
          <w:p>
            <w:pPr>
              <w:jc w:val="left"/>
            </w:pPr>
            <w:r/>
            <w:r>
              <w:rPr>
                <w:b w:val="0"/>
                <w:color w:val="243447"/>
                <w:sz w:val="17"/>
              </w:rPr>
              <w:t>Mean 5-fold accuracy</w:t>
            </w:r>
          </w:p>
        </w:tc>
        <w:tc>
          <w:tcPr>
            <w:tcW w:type="dxa" w:w="2592"/>
            <w:vAlign w:val="center"/>
          </w:tcPr>
          <w:p>
            <w:pPr>
              <w:jc w:val="left"/>
            </w:pPr>
            <w:r/>
            <w:r>
              <w:rPr>
                <w:b w:val="0"/>
                <w:color w:val="243447"/>
                <w:sz w:val="17"/>
              </w:rPr>
              <w:t>0.9985</w:t>
            </w:r>
          </w:p>
        </w:tc>
        <w:tc>
          <w:tcPr>
            <w:tcW w:type="dxa" w:w="2592"/>
            <w:vAlign w:val="center"/>
          </w:tcPr>
          <w:p>
            <w:pPr>
              <w:jc w:val="left"/>
            </w:pPr>
            <w:r/>
            <w:r>
              <w:rPr>
                <w:b w:val="0"/>
                <w:color w:val="243447"/>
                <w:sz w:val="17"/>
              </w:rPr>
              <w:t>0.9812</w:t>
            </w:r>
          </w:p>
        </w:tc>
      </w:tr>
      <w:tr>
        <w:tc>
          <w:tcPr>
            <w:tcW w:type="dxa" w:w="3168"/>
            <w:vAlign w:val="center"/>
          </w:tcPr>
          <w:p>
            <w:pPr>
              <w:jc w:val="left"/>
            </w:pPr>
            <w:r/>
            <w:r>
              <w:rPr>
                <w:b w:val="0"/>
                <w:color w:val="243447"/>
                <w:sz w:val="17"/>
              </w:rPr>
              <w:t>Standard deviation</w:t>
            </w:r>
          </w:p>
        </w:tc>
        <w:tc>
          <w:tcPr>
            <w:tcW w:type="dxa" w:w="2592"/>
            <w:vAlign w:val="center"/>
          </w:tcPr>
          <w:p>
            <w:pPr>
              <w:jc w:val="left"/>
            </w:pPr>
            <w:r/>
            <w:r>
              <w:rPr>
                <w:b w:val="0"/>
                <w:color w:val="243447"/>
                <w:sz w:val="17"/>
              </w:rPr>
              <w:t>0.0005</w:t>
            </w:r>
          </w:p>
        </w:tc>
        <w:tc>
          <w:tcPr>
            <w:tcW w:type="dxa" w:w="2592"/>
            <w:vAlign w:val="center"/>
          </w:tcPr>
          <w:p>
            <w:pPr>
              <w:jc w:val="left"/>
            </w:pPr>
            <w:r/>
            <w:r>
              <w:rPr>
                <w:b w:val="0"/>
                <w:color w:val="243447"/>
                <w:sz w:val="17"/>
              </w:rPr>
              <w:t>0.0016</w:t>
            </w:r>
          </w:p>
        </w:tc>
      </w:tr>
      <w:tr>
        <w:tc>
          <w:tcPr>
            <w:tcW w:type="dxa" w:w="3168"/>
            <w:vAlign w:val="center"/>
          </w:tcPr>
          <w:p>
            <w:pPr>
              <w:jc w:val="left"/>
            </w:pPr>
            <w:r/>
            <w:r>
              <w:rPr>
                <w:b w:val="0"/>
                <w:color w:val="243447"/>
                <w:sz w:val="17"/>
              </w:rPr>
              <w:t>Cross-validation folds</w:t>
            </w:r>
          </w:p>
        </w:tc>
        <w:tc>
          <w:tcPr>
            <w:tcW w:type="dxa" w:w="2592"/>
            <w:vAlign w:val="center"/>
          </w:tcPr>
          <w:p>
            <w:pPr>
              <w:jc w:val="left"/>
            </w:pPr>
            <w:r/>
            <w:r>
              <w:rPr>
                <w:b w:val="0"/>
                <w:color w:val="243447"/>
                <w:sz w:val="17"/>
              </w:rPr>
              <w:t>5</w:t>
            </w:r>
          </w:p>
        </w:tc>
        <w:tc>
          <w:tcPr>
            <w:tcW w:type="dxa" w:w="2592"/>
            <w:vAlign w:val="center"/>
          </w:tcPr>
          <w:p>
            <w:pPr>
              <w:jc w:val="left"/>
            </w:pPr>
            <w:r/>
            <w:r>
              <w:rPr>
                <w:b w:val="0"/>
                <w:color w:val="243447"/>
                <w:sz w:val="17"/>
              </w:rPr>
              <w:t>5</w:t>
            </w:r>
          </w:p>
        </w:tc>
      </w:tr>
    </w:tbl>
    <w:p/>
    <w:p>
      <w:r>
        <w:t>In the notebook's recorded experiment, the PCA-transformed representation produced a lower mean cross-validation accuracy than the original prepared feature representation. This is a descriptive result of the experiment; it does not by itself establish that PCA is unsuitable for every EV classification task.</w:t>
      </w:r>
    </w:p>
    <w:p>
      <w:pPr>
        <w:pStyle w:val="Heading1"/>
        <w:spacing w:before="200" w:after="100"/>
      </w:pPr>
      <w:r>
        <w:t>10. Integrated Findings</w:t>
      </w:r>
    </w:p>
    <w:p>
      <w:r>
        <w:rPr>
          <w:b/>
          <w:color w:val="17365D"/>
        </w:rPr>
        <w:t xml:space="preserve">Dataset structure: </w:t>
      </w:r>
      <w:r>
        <w:t>The project combines vehicle, geographic, EV classification, clean-fuel, performance and policy-related fields.</w:t>
      </w:r>
    </w:p>
    <w:p>
      <w:r>
        <w:rPr>
          <w:b/>
          <w:color w:val="17365D"/>
        </w:rPr>
        <w:t xml:space="preserve">Segmentation: </w:t>
      </w:r>
      <w:r>
        <w:t>K-Means with three clusters produces a silhouette score of 0.5052 and three distinct cluster sizes, with Cluster 0 being the largest.</w:t>
      </w:r>
    </w:p>
    <w:p>
      <w:r>
        <w:rPr>
          <w:b/>
          <w:color w:val="17365D"/>
        </w:rPr>
        <w:t xml:space="preserve">Cluster composition: </w:t>
      </w:r>
      <w:r>
        <w:t>All three clusters contain both BEV and PHEV records, although their proportions differ.</w:t>
      </w:r>
    </w:p>
    <w:p>
      <w:r>
        <w:rPr>
          <w:b/>
          <w:color w:val="17365D"/>
        </w:rPr>
        <w:t xml:space="preserve">Cluster profiles: </w:t>
      </w:r>
      <w:r>
        <w:t>The recorded cluster means show clear differences in model year, electric range and Base MSRP.</w:t>
      </w:r>
    </w:p>
    <w:p>
      <w:r>
        <w:rPr>
          <w:b/>
          <w:color w:val="17365D"/>
        </w:rPr>
        <w:t xml:space="preserve">Alternative clustering: </w:t>
      </w:r>
      <w:r>
        <w:t>Hierarchical clustering on a 2,000-record subset provides a useful method-level comparison with K-Means.</w:t>
      </w:r>
    </w:p>
    <w:p>
      <w:r>
        <w:rPr>
          <w:b/>
          <w:color w:val="17365D"/>
        </w:rPr>
        <w:t xml:space="preserve">Classification: </w:t>
      </w:r>
      <w:r>
        <w:t>Random Forest achieves a mean five-fold CV accuracy of 0.9985 in the notebook's recorded pipeline.</w:t>
      </w:r>
    </w:p>
    <w:p>
      <w:r>
        <w:rPr>
          <w:b/>
          <w:color w:val="17365D"/>
        </w:rPr>
        <w:t xml:space="preserve">Predictive drivers: </w:t>
      </w:r>
      <w:r>
        <w:t>Electric Range is the highest-ranked individual feature by recorded Random Forest importance.</w:t>
      </w:r>
    </w:p>
    <w:p>
      <w:r>
        <w:rPr>
          <w:b/>
          <w:color w:val="17365D"/>
        </w:rPr>
        <w:t xml:space="preserve">Dimensionality reduction: </w:t>
      </w:r>
      <w:r>
        <w:t>Seven PCA components were needed to reach the notebook's 95% variance criterion, and PCA-based Random Forest CV accuracy was 0.9812.</w:t>
      </w:r>
    </w:p>
    <w:p>
      <w:pPr>
        <w:pStyle w:val="Heading1"/>
        <w:spacing w:before="200" w:after="100"/>
      </w:pPr>
      <w:r>
        <w:t>11. Conclusion</w:t>
      </w:r>
    </w:p>
    <w:p>
      <w:r>
        <w:t>The notebook demonstrates a complete analytical workflow for an EV dataset, progressing from exploratory analysis to segmentation, classification and dimensionality reduction. The combination of clustering and classification provides two complementary perspectives: clustering explores naturally occurring structure, while Random Forest evaluates how well the available variables can distinguish the recorded EV Type labels.</w:t>
      </w:r>
    </w:p>
    <w:p>
      <w:r>
        <w:t>The strongest recorded supervised result is the 0.9985 mean five-fold cross-validation accuracy from the Random Forest pipeline. The clustering experiment provides a moderate silhouette score of 0.5052 and a 78.31% cluster-to-label alignment measure. PCA retains seven components for the stated variance threshold, and the PCA-based Random Forest experiment records a mean accuracy of 0.9812.</w:t>
      </w:r>
    </w:p>
    <w:p>
      <w:pPr>
        <w:pStyle w:val="Heading1"/>
        <w:spacing w:before="200" w:after="100"/>
      </w:pPr>
      <w:r>
        <w:t>12. Limitations &amp; Recommended Next Steps</w:t>
      </w:r>
    </w:p>
    <w:p>
      <w:pPr>
        <w:pStyle w:val="Heading2"/>
        <w:spacing w:before="200" w:after="100"/>
      </w:pPr>
      <w:r>
        <w:t>Limitations observed from the notebook</w:t>
      </w:r>
    </w:p>
    <w:p>
      <w:pPr>
        <w:pStyle w:val="ListBullet"/>
        <w:spacing w:after="40"/>
      </w:pPr>
      <w:r>
        <w:t>The notebook references an external CSV path, while the supplied project artifact is the notebook itself; this report therefore uses the notebook's recorded outputs rather than independently re-running the complete pipeline.</w:t>
      </w:r>
    </w:p>
    <w:p>
      <w:pPr>
        <w:pStyle w:val="ListBullet"/>
        <w:spacing w:after="40"/>
      </w:pPr>
      <w:r>
        <w:t>Several EDA charts are saved as figure outputs without accompanying numeric summary tables, limiting the precision of distribution-level commentary.</w:t>
      </w:r>
    </w:p>
    <w:p>
      <w:pPr>
        <w:pStyle w:val="ListBullet"/>
        <w:spacing w:after="40"/>
      </w:pPr>
      <w:r>
        <w:t>Hierarchical clustering is demonstrated on a 2,000-record subset rather than the full dataset.</w:t>
      </w:r>
    </w:p>
    <w:p>
      <w:pPr>
        <w:pStyle w:val="ListBullet"/>
        <w:spacing w:after="40"/>
      </w:pPr>
      <w:r>
        <w:t>The cluster-alignment percentage is a post-hoc mapping of clusters to their dominant EV Type and is not equivalent to classifier accuracy.</w:t>
      </w:r>
    </w:p>
    <w:p>
      <w:pPr>
        <w:pStyle w:val="ListBullet"/>
        <w:spacing w:after="40"/>
      </w:pPr>
      <w:r>
        <w:t>The extremely high Random Forest accuracy should be interpreted in the context of the feature set and target definition; feature leakage or highly target-proximal variables should be reviewed before production use.</w:t>
      </w:r>
    </w:p>
    <w:p>
      <w:pPr>
        <w:pStyle w:val="Heading2"/>
        <w:spacing w:before="200" w:after="100"/>
      </w:pPr>
      <w:r>
        <w:t>Recommended next steps</w:t>
      </w:r>
    </w:p>
    <w:p>
      <w:pPr>
        <w:pStyle w:val="ListBullet"/>
        <w:spacing w:after="40"/>
      </w:pPr>
      <w:r>
        <w:t>Add a formal data-quality section covering missing values, duplicates, cardinality and outlier treatment.</w:t>
      </w:r>
    </w:p>
    <w:p>
      <w:pPr>
        <w:pStyle w:val="ListBullet"/>
        <w:spacing w:after="40"/>
      </w:pPr>
      <w:r>
        <w:t>Document the exact feature set used for K-Means, including the scaling and encoding steps before clustering.</w:t>
      </w:r>
    </w:p>
    <w:p>
      <w:pPr>
        <w:pStyle w:val="ListBullet"/>
        <w:spacing w:after="40"/>
      </w:pPr>
      <w:r>
        <w:t>Validate the Random Forest with a held-out test set in addition to cross-validation.</w:t>
      </w:r>
    </w:p>
    <w:p>
      <w:pPr>
        <w:pStyle w:val="ListBullet"/>
        <w:spacing w:after="40"/>
      </w:pPr>
      <w:r>
        <w:t>Investigate whether CAFV-related fields encode or closely reflect EV Type, which could explain their high feature importance.</w:t>
      </w:r>
    </w:p>
    <w:p>
      <w:pPr>
        <w:pStyle w:val="ListBullet"/>
        <w:spacing w:after="40"/>
      </w:pPr>
      <w:r>
        <w:t>Add precision, recall, F1-score and a normalized confusion matrix for the supervised classifier.</w:t>
      </w:r>
    </w:p>
    <w:p>
      <w:pPr>
        <w:pStyle w:val="ListBullet"/>
        <w:spacing w:after="40"/>
      </w:pPr>
      <w:r>
        <w:t>Compare additional models such as Logistic Regression, Gradient Boosting and XGBoost if appropriate.</w:t>
      </w:r>
    </w:p>
    <w:p>
      <w:pPr>
        <w:pStyle w:val="ListBullet"/>
        <w:spacing w:after="40"/>
      </w:pPr>
      <w:r>
        <w:t>Extend clustering evaluation using Calinski-Harabasz and Davies-Bouldin indices.</w:t>
      </w:r>
    </w:p>
    <w:p>
      <w:pPr>
        <w:pStyle w:val="ListBullet"/>
        <w:spacing w:after="40"/>
      </w:pPr>
      <w:r>
        <w:t>Add business-oriented segmentation labels and translate cluster profiles into practical EV market insights.</w:t>
      </w:r>
    </w:p>
    <w:p>
      <w:pPr>
        <w:pStyle w:val="Heading1"/>
        <w:spacing w:before="200" w:after="100"/>
      </w:pPr>
      <w:r>
        <w:t>Appendix A – Key Results</w:t>
      </w:r>
    </w:p>
    <w:tbl>
      <w:tblPr>
        <w:tblStyle w:val="TableGrid"/>
        <w:tblW w:type="auto" w:w="0"/>
        <w:jc w:val="center"/>
        <w:tblLook w:firstColumn="1" w:firstRow="1" w:lastColumn="0" w:lastRow="0" w:noHBand="0" w:noVBand="1" w:val="04A0"/>
      </w:tblPr>
      <w:tblGrid>
        <w:gridCol w:w="5112"/>
        <w:gridCol w:w="5112"/>
      </w:tblGrid>
      <w:tr>
        <w:tc>
          <w:tcPr>
            <w:tcW w:type="dxa" w:w="4032"/>
            <w:vAlign w:val="center"/>
            <w:shd w:fill="17365D"/>
          </w:tcPr>
          <w:p>
            <w:pPr>
              <w:jc w:val="left"/>
            </w:pPr>
            <w:r/>
            <w:r>
              <w:rPr>
                <w:b/>
                <w:color w:val="FFFFFF"/>
                <w:sz w:val="18"/>
              </w:rPr>
              <w:t>Analysis</w:t>
            </w:r>
          </w:p>
        </w:tc>
        <w:tc>
          <w:tcPr>
            <w:tcW w:type="dxa" w:w="4176"/>
            <w:vAlign w:val="center"/>
            <w:shd w:fill="17365D"/>
          </w:tcPr>
          <w:p>
            <w:pPr>
              <w:jc w:val="left"/>
            </w:pPr>
            <w:r/>
            <w:r>
              <w:rPr>
                <w:b/>
                <w:color w:val="FFFFFF"/>
                <w:sz w:val="18"/>
              </w:rPr>
              <w:t>Recorded result</w:t>
            </w:r>
          </w:p>
        </w:tc>
      </w:tr>
      <w:tr>
        <w:tc>
          <w:tcPr>
            <w:tcW w:type="dxa" w:w="4032"/>
            <w:vAlign w:val="center"/>
          </w:tcPr>
          <w:p>
            <w:pPr>
              <w:jc w:val="left"/>
            </w:pPr>
            <w:r/>
            <w:r>
              <w:rPr>
                <w:b w:val="0"/>
                <w:color w:val="243447"/>
                <w:sz w:val="17"/>
              </w:rPr>
              <w:t>Dataset size</w:t>
            </w:r>
          </w:p>
        </w:tc>
        <w:tc>
          <w:tcPr>
            <w:tcW w:type="dxa" w:w="4176"/>
            <w:vAlign w:val="center"/>
          </w:tcPr>
          <w:p>
            <w:pPr>
              <w:jc w:val="left"/>
            </w:pPr>
            <w:r/>
            <w:r>
              <w:rPr>
                <w:b w:val="0"/>
                <w:color w:val="243447"/>
                <w:sz w:val="17"/>
              </w:rPr>
              <w:t>9,998 records</w:t>
            </w:r>
          </w:p>
        </w:tc>
      </w:tr>
      <w:tr>
        <w:tc>
          <w:tcPr>
            <w:tcW w:type="dxa" w:w="4032"/>
            <w:vAlign w:val="center"/>
          </w:tcPr>
          <w:p>
            <w:pPr>
              <w:jc w:val="left"/>
            </w:pPr>
            <w:r/>
            <w:r>
              <w:rPr>
                <w:b w:val="0"/>
                <w:color w:val="243447"/>
                <w:sz w:val="17"/>
              </w:rPr>
              <w:t>K-Means k</w:t>
            </w:r>
          </w:p>
        </w:tc>
        <w:tc>
          <w:tcPr>
            <w:tcW w:type="dxa" w:w="4176"/>
            <w:vAlign w:val="center"/>
          </w:tcPr>
          <w:p>
            <w:pPr>
              <w:jc w:val="left"/>
            </w:pPr>
            <w:r/>
            <w:r>
              <w:rPr>
                <w:b w:val="0"/>
                <w:color w:val="243447"/>
                <w:sz w:val="17"/>
              </w:rPr>
              <w:t>3</w:t>
            </w:r>
          </w:p>
        </w:tc>
      </w:tr>
      <w:tr>
        <w:tc>
          <w:tcPr>
            <w:tcW w:type="dxa" w:w="4032"/>
            <w:vAlign w:val="center"/>
          </w:tcPr>
          <w:p>
            <w:pPr>
              <w:jc w:val="left"/>
            </w:pPr>
            <w:r/>
            <w:r>
              <w:rPr>
                <w:b w:val="0"/>
                <w:color w:val="243447"/>
                <w:sz w:val="17"/>
              </w:rPr>
              <w:t>Silhouette score</w:t>
            </w:r>
          </w:p>
        </w:tc>
        <w:tc>
          <w:tcPr>
            <w:tcW w:type="dxa" w:w="4176"/>
            <w:vAlign w:val="center"/>
          </w:tcPr>
          <w:p>
            <w:pPr>
              <w:jc w:val="left"/>
            </w:pPr>
            <w:r/>
            <w:r>
              <w:rPr>
                <w:b w:val="0"/>
                <w:color w:val="243447"/>
                <w:sz w:val="17"/>
              </w:rPr>
              <w:t>0.5052</w:t>
            </w:r>
          </w:p>
        </w:tc>
      </w:tr>
      <w:tr>
        <w:tc>
          <w:tcPr>
            <w:tcW w:type="dxa" w:w="4032"/>
            <w:vAlign w:val="center"/>
          </w:tcPr>
          <w:p>
            <w:pPr>
              <w:jc w:val="left"/>
            </w:pPr>
            <w:r/>
            <w:r>
              <w:rPr>
                <w:b w:val="0"/>
                <w:color w:val="243447"/>
                <w:sz w:val="17"/>
              </w:rPr>
              <w:t>Cluster alignment accuracy</w:t>
            </w:r>
          </w:p>
        </w:tc>
        <w:tc>
          <w:tcPr>
            <w:tcW w:type="dxa" w:w="4176"/>
            <w:vAlign w:val="center"/>
          </w:tcPr>
          <w:p>
            <w:pPr>
              <w:jc w:val="left"/>
            </w:pPr>
            <w:r/>
            <w:r>
              <w:rPr>
                <w:b w:val="0"/>
                <w:color w:val="243447"/>
                <w:sz w:val="17"/>
              </w:rPr>
              <w:t>78.31%</w:t>
            </w:r>
          </w:p>
        </w:tc>
      </w:tr>
      <w:tr>
        <w:tc>
          <w:tcPr>
            <w:tcW w:type="dxa" w:w="4032"/>
            <w:vAlign w:val="center"/>
          </w:tcPr>
          <w:p>
            <w:pPr>
              <w:jc w:val="left"/>
            </w:pPr>
            <w:r/>
            <w:r>
              <w:rPr>
                <w:b w:val="0"/>
                <w:color w:val="243447"/>
                <w:sz w:val="17"/>
              </w:rPr>
              <w:t>Cluster 0 size</w:t>
            </w:r>
          </w:p>
        </w:tc>
        <w:tc>
          <w:tcPr>
            <w:tcW w:type="dxa" w:w="4176"/>
            <w:vAlign w:val="center"/>
          </w:tcPr>
          <w:p>
            <w:pPr>
              <w:jc w:val="left"/>
            </w:pPr>
            <w:r/>
            <w:r>
              <w:rPr>
                <w:b w:val="0"/>
                <w:color w:val="243447"/>
                <w:sz w:val="17"/>
              </w:rPr>
              <w:t>6,924</w:t>
            </w:r>
          </w:p>
        </w:tc>
      </w:tr>
      <w:tr>
        <w:tc>
          <w:tcPr>
            <w:tcW w:type="dxa" w:w="4032"/>
            <w:vAlign w:val="center"/>
          </w:tcPr>
          <w:p>
            <w:pPr>
              <w:jc w:val="left"/>
            </w:pPr>
            <w:r/>
            <w:r>
              <w:rPr>
                <w:b w:val="0"/>
                <w:color w:val="243447"/>
                <w:sz w:val="17"/>
              </w:rPr>
              <w:t>Cluster 1 size</w:t>
            </w:r>
          </w:p>
        </w:tc>
        <w:tc>
          <w:tcPr>
            <w:tcW w:type="dxa" w:w="4176"/>
            <w:vAlign w:val="center"/>
          </w:tcPr>
          <w:p>
            <w:pPr>
              <w:jc w:val="left"/>
            </w:pPr>
            <w:r/>
            <w:r>
              <w:rPr>
                <w:b w:val="0"/>
                <w:color w:val="243447"/>
                <w:sz w:val="17"/>
              </w:rPr>
              <w:t>2,913</w:t>
            </w:r>
          </w:p>
        </w:tc>
      </w:tr>
      <w:tr>
        <w:tc>
          <w:tcPr>
            <w:tcW w:type="dxa" w:w="4032"/>
            <w:vAlign w:val="center"/>
          </w:tcPr>
          <w:p>
            <w:pPr>
              <w:jc w:val="left"/>
            </w:pPr>
            <w:r/>
            <w:r>
              <w:rPr>
                <w:b w:val="0"/>
                <w:color w:val="243447"/>
                <w:sz w:val="17"/>
              </w:rPr>
              <w:t>Cluster 2 size</w:t>
            </w:r>
          </w:p>
        </w:tc>
        <w:tc>
          <w:tcPr>
            <w:tcW w:type="dxa" w:w="4176"/>
            <w:vAlign w:val="center"/>
          </w:tcPr>
          <w:p>
            <w:pPr>
              <w:jc w:val="left"/>
            </w:pPr>
            <w:r/>
            <w:r>
              <w:rPr>
                <w:b w:val="0"/>
                <w:color w:val="243447"/>
                <w:sz w:val="17"/>
              </w:rPr>
              <w:t>161</w:t>
            </w:r>
          </w:p>
        </w:tc>
      </w:tr>
      <w:tr>
        <w:tc>
          <w:tcPr>
            <w:tcW w:type="dxa" w:w="4032"/>
            <w:vAlign w:val="center"/>
          </w:tcPr>
          <w:p>
            <w:pPr>
              <w:jc w:val="left"/>
            </w:pPr>
            <w:r/>
            <w:r>
              <w:rPr>
                <w:b w:val="0"/>
                <w:color w:val="243447"/>
                <w:sz w:val="17"/>
              </w:rPr>
              <w:t>Random Forest mean 5-fold CV accuracy</w:t>
            </w:r>
          </w:p>
        </w:tc>
        <w:tc>
          <w:tcPr>
            <w:tcW w:type="dxa" w:w="4176"/>
            <w:vAlign w:val="center"/>
          </w:tcPr>
          <w:p>
            <w:pPr>
              <w:jc w:val="left"/>
            </w:pPr>
            <w:r/>
            <w:r>
              <w:rPr>
                <w:b w:val="0"/>
                <w:color w:val="243447"/>
                <w:sz w:val="17"/>
              </w:rPr>
              <w:t>0.9985</w:t>
            </w:r>
          </w:p>
        </w:tc>
      </w:tr>
      <w:tr>
        <w:tc>
          <w:tcPr>
            <w:tcW w:type="dxa" w:w="4032"/>
            <w:vAlign w:val="center"/>
          </w:tcPr>
          <w:p>
            <w:pPr>
              <w:jc w:val="left"/>
            </w:pPr>
            <w:r/>
            <w:r>
              <w:rPr>
                <w:b w:val="0"/>
                <w:color w:val="243447"/>
                <w:sz w:val="17"/>
              </w:rPr>
              <w:t>Random Forest CV standard deviation</w:t>
            </w:r>
          </w:p>
        </w:tc>
        <w:tc>
          <w:tcPr>
            <w:tcW w:type="dxa" w:w="4176"/>
            <w:vAlign w:val="center"/>
          </w:tcPr>
          <w:p>
            <w:pPr>
              <w:jc w:val="left"/>
            </w:pPr>
            <w:r/>
            <w:r>
              <w:rPr>
                <w:b w:val="0"/>
                <w:color w:val="243447"/>
                <w:sz w:val="17"/>
              </w:rPr>
              <w:t>0.0005</w:t>
            </w:r>
          </w:p>
        </w:tc>
      </w:tr>
      <w:tr>
        <w:tc>
          <w:tcPr>
            <w:tcW w:type="dxa" w:w="4032"/>
            <w:vAlign w:val="center"/>
          </w:tcPr>
          <w:p>
            <w:pPr>
              <w:jc w:val="left"/>
            </w:pPr>
            <w:r/>
            <w:r>
              <w:rPr>
                <w:b w:val="0"/>
                <w:color w:val="243447"/>
                <w:sz w:val="17"/>
              </w:rPr>
              <w:t>Top RF feature</w:t>
            </w:r>
          </w:p>
        </w:tc>
        <w:tc>
          <w:tcPr>
            <w:tcW w:type="dxa" w:w="4176"/>
            <w:vAlign w:val="center"/>
          </w:tcPr>
          <w:p>
            <w:pPr>
              <w:jc w:val="left"/>
            </w:pPr>
            <w:r/>
            <w:r>
              <w:rPr>
                <w:b w:val="0"/>
                <w:color w:val="243447"/>
                <w:sz w:val="17"/>
              </w:rPr>
              <w:t>Electric Range (0.223896)</w:t>
            </w:r>
          </w:p>
        </w:tc>
      </w:tr>
      <w:tr>
        <w:tc>
          <w:tcPr>
            <w:tcW w:type="dxa" w:w="4032"/>
            <w:vAlign w:val="center"/>
          </w:tcPr>
          <w:p>
            <w:pPr>
              <w:jc w:val="left"/>
            </w:pPr>
            <w:r/>
            <w:r>
              <w:rPr>
                <w:b w:val="0"/>
                <w:color w:val="243447"/>
                <w:sz w:val="17"/>
              </w:rPr>
              <w:t>PCA numerical input shape</w:t>
            </w:r>
          </w:p>
        </w:tc>
        <w:tc>
          <w:tcPr>
            <w:tcW w:type="dxa" w:w="4176"/>
            <w:vAlign w:val="center"/>
          </w:tcPr>
          <w:p>
            <w:pPr>
              <w:jc w:val="left"/>
            </w:pPr>
            <w:r/>
            <w:r>
              <w:rPr>
                <w:b w:val="0"/>
                <w:color w:val="243447"/>
                <w:sz w:val="17"/>
              </w:rPr>
              <w:t>9,998 × 7</w:t>
            </w:r>
          </w:p>
        </w:tc>
      </w:tr>
      <w:tr>
        <w:tc>
          <w:tcPr>
            <w:tcW w:type="dxa" w:w="4032"/>
            <w:vAlign w:val="center"/>
          </w:tcPr>
          <w:p>
            <w:pPr>
              <w:jc w:val="left"/>
            </w:pPr>
            <w:r/>
            <w:r>
              <w:rPr>
                <w:b w:val="0"/>
                <w:color w:val="243447"/>
                <w:sz w:val="17"/>
              </w:rPr>
              <w:t>PCA components for ≥95% variance</w:t>
            </w:r>
          </w:p>
        </w:tc>
        <w:tc>
          <w:tcPr>
            <w:tcW w:type="dxa" w:w="4176"/>
            <w:vAlign w:val="center"/>
          </w:tcPr>
          <w:p>
            <w:pPr>
              <w:jc w:val="left"/>
            </w:pPr>
            <w:r/>
            <w:r>
              <w:rPr>
                <w:b w:val="0"/>
                <w:color w:val="243447"/>
                <w:sz w:val="17"/>
              </w:rPr>
              <w:t>7</w:t>
            </w:r>
          </w:p>
        </w:tc>
      </w:tr>
      <w:tr>
        <w:tc>
          <w:tcPr>
            <w:tcW w:type="dxa" w:w="4032"/>
            <w:vAlign w:val="center"/>
          </w:tcPr>
          <w:p>
            <w:pPr>
              <w:jc w:val="left"/>
            </w:pPr>
            <w:r/>
            <w:r>
              <w:rPr>
                <w:b w:val="0"/>
                <w:color w:val="243447"/>
                <w:sz w:val="17"/>
              </w:rPr>
              <w:t>PCA cumulative explained variance</w:t>
            </w:r>
          </w:p>
        </w:tc>
        <w:tc>
          <w:tcPr>
            <w:tcW w:type="dxa" w:w="4176"/>
            <w:vAlign w:val="center"/>
          </w:tcPr>
          <w:p>
            <w:pPr>
              <w:jc w:val="left"/>
            </w:pPr>
            <w:r/>
            <w:r>
              <w:rPr>
                <w:b w:val="0"/>
                <w:color w:val="243447"/>
                <w:sz w:val="17"/>
              </w:rPr>
              <w:t>1.0000</w:t>
            </w:r>
          </w:p>
        </w:tc>
      </w:tr>
      <w:tr>
        <w:tc>
          <w:tcPr>
            <w:tcW w:type="dxa" w:w="4032"/>
            <w:vAlign w:val="center"/>
          </w:tcPr>
          <w:p>
            <w:pPr>
              <w:jc w:val="left"/>
            </w:pPr>
            <w:r/>
            <w:r>
              <w:rPr>
                <w:b w:val="0"/>
                <w:color w:val="243447"/>
                <w:sz w:val="17"/>
              </w:rPr>
              <w:t>RF mean 5-fold CV accuracy with PCA</w:t>
            </w:r>
          </w:p>
        </w:tc>
        <w:tc>
          <w:tcPr>
            <w:tcW w:type="dxa" w:w="4176"/>
            <w:vAlign w:val="center"/>
          </w:tcPr>
          <w:p>
            <w:pPr>
              <w:jc w:val="left"/>
            </w:pPr>
            <w:r/>
            <w:r>
              <w:rPr>
                <w:b w:val="0"/>
                <w:color w:val="243447"/>
                <w:sz w:val="17"/>
              </w:rPr>
              <w:t>0.9812</w:t>
            </w:r>
          </w:p>
        </w:tc>
      </w:tr>
      <w:tr>
        <w:tc>
          <w:tcPr>
            <w:tcW w:type="dxa" w:w="4032"/>
            <w:vAlign w:val="center"/>
          </w:tcPr>
          <w:p>
            <w:pPr>
              <w:jc w:val="left"/>
            </w:pPr>
            <w:r/>
            <w:r>
              <w:rPr>
                <w:b w:val="0"/>
                <w:color w:val="243447"/>
                <w:sz w:val="17"/>
              </w:rPr>
              <w:t>RF CV standard deviation with PCA</w:t>
            </w:r>
          </w:p>
        </w:tc>
        <w:tc>
          <w:tcPr>
            <w:tcW w:type="dxa" w:w="4176"/>
            <w:vAlign w:val="center"/>
          </w:tcPr>
          <w:p>
            <w:pPr>
              <w:jc w:val="left"/>
            </w:pPr>
            <w:r/>
            <w:r>
              <w:rPr>
                <w:b w:val="0"/>
                <w:color w:val="243447"/>
                <w:sz w:val="17"/>
              </w:rPr>
              <w:t>0.0016</w:t>
            </w:r>
          </w:p>
        </w:tc>
      </w:tr>
    </w:tbl>
    <w:p/>
    <w:p/>
    <w:p>
      <w:r>
        <w:rPr>
          <w:b/>
        </w:rPr>
        <w:t xml:space="preserve">Source note: </w:t>
      </w:r>
      <w:r>
        <w:t>All project-specific findings and numerical results in this report are derived from the supplied EVdataset_small.ipynb notebook. No external dataset or external research has been introduced.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EV Dataset Analysis  |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ELECTRIC VEHICLE DATA ANALYTICS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7A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