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left"/>
      </w:pPr>
      <w:r>
        <w:rPr>
          <w:rFonts w:ascii="Calibri" w:cs="Calibri" w:eastAsia="Calibri" w:hAnsi="Calibri"/>
          <w:b/>
          <w:bCs/>
          <w:color w:val="2E5266"/>
          <w:sz w:val="56"/>
          <w:szCs w:val="56"/>
        </w:rPr>
        <w:t xml:space="preserve">mittiva</w:t>
      </w:r>
    </w:p>
    <w:p>
      <w:pPr>
        <w:spacing w:after="720"/>
        <w:jc w:val="left"/>
      </w:pPr>
      <w:r>
        <w:rPr>
          <w:i/>
          <w:iCs/>
          <w:color w:val="5C6B73"/>
          <w:sz w:val="24"/>
          <w:szCs w:val="24"/>
        </w:rPr>
        <w:t xml:space="preserve">Professional infrastructure for independent clinicians</w:t>
      </w:r>
    </w:p>
    <w:p>
      <w:pPr>
        <w:pBdr>
          <w:bottom w:val="single" w:color="2E5266" w:sz="6" w:space="1"/>
        </w:pBdr>
        <w:spacing w:after="160" w:before="80"/>
      </w:pPr>
      <w:r>
        <w:t xml:space="preserve"/>
      </w:r>
    </w:p>
    <w:p>
      <w:pPr>
        <w:spacing w:after="120" w:before="240"/>
      </w:pPr>
      <w:r>
        <w:rPr>
          <w:b/>
          <w:bCs/>
          <w:color w:val="1F2A2E"/>
          <w:sz w:val="40"/>
          <w:szCs w:val="40"/>
        </w:rPr>
        <w:t xml:space="preserve">Strategy &amp; Proposal</w:t>
      </w:r>
    </w:p>
    <w:p>
      <w:pPr>
        <w:spacing w:after="600"/>
      </w:pPr>
      <w:r>
        <w:rPr>
          <w:color w:val="5C6B73"/>
          <w:sz w:val="26"/>
          <w:szCs w:val="26"/>
        </w:rPr>
        <w:t xml:space="preserve">Building an online counseling practice for</w:t>
      </w:r>
    </w:p>
    <w:p>
      <w:pPr>
        <w:spacing w:after="80"/>
      </w:pPr>
      <w:r>
        <w:rPr>
          <w:b/>
          <w:bCs/>
          <w:color w:val="2E5266"/>
          <w:sz w:val="32"/>
          <w:szCs w:val="32"/>
        </w:rPr>
        <w:t xml:space="preserve">Vinita Basra, M.A. (Psychology)</w:t>
      </w:r>
    </w:p>
    <w:p>
      <w:pPr>
        <w:spacing w:after="1200"/>
      </w:pPr>
      <w:r>
        <w:rPr>
          <w:i/>
          <w:iCs/>
          <w:color w:val="5C6B73"/>
          <w:sz w:val="22"/>
          <w:szCs w:val="22"/>
        </w:rPr>
        <w:t xml:space="preserve">Clinical Psychologist &amp; Counselor</w:t>
      </w:r>
    </w:p>
    <w:p>
      <w:pPr>
        <w:spacing w:after="80"/>
      </w:pPr>
      <w:r>
        <w:rPr>
          <w:b/>
          <w:bCs/>
          <w:sz w:val="20"/>
          <w:szCs w:val="20"/>
        </w:rPr>
        <w:t xml:space="preserve">Prepared by:  </w:t>
      </w:r>
      <w:r>
        <w:rPr>
          <w:sz w:val="20"/>
          <w:szCs w:val="20"/>
        </w:rPr>
        <w:t xml:space="preserve">Amandeep Singh Basra, Mittiva</w:t>
      </w:r>
    </w:p>
    <w:p>
      <w:pPr>
        <w:spacing w:after="80"/>
      </w:pPr>
      <w:r>
        <w:rPr>
          <w:b/>
          <w:bCs/>
          <w:sz w:val="20"/>
          <w:szCs w:val="20"/>
        </w:rPr>
        <w:t xml:space="preserve">Date:  </w:t>
      </w:r>
      <w:r>
        <w:rPr>
          <w:sz w:val="20"/>
          <w:szCs w:val="20"/>
        </w:rPr>
        <w:t xml:space="preserve">25 May 2026</w:t>
      </w:r>
    </w:p>
    <w:p>
      <w:pPr>
        <w:spacing w:after="80"/>
      </w:pPr>
      <w:r>
        <w:rPr>
          <w:b/>
          <w:bCs/>
          <w:sz w:val="20"/>
          <w:szCs w:val="20"/>
        </w:rPr>
        <w:t xml:space="preserve">Status:  </w:t>
      </w:r>
      <w:r>
        <w:rPr>
          <w:i/>
          <w:iCs/>
          <w:color w:val="5C6B73"/>
          <w:sz w:val="20"/>
          <w:szCs w:val="20"/>
        </w:rPr>
        <w:t xml:space="preserve">Draft v1 — for discussion</w:t>
      </w:r>
    </w:p>
    <w:p>
      <w:r>
        <w:br w:type="page"/>
      </w:r>
    </w:p>
    <w:p>
      <w:pPr>
        <w:pStyle w:val="Heading1"/>
        <w:spacing w:after="180" w:before="360"/>
      </w:pPr>
      <w:r>
        <w:rPr>
          <w:rFonts w:ascii="Calibri" w:cs="Calibri" w:eastAsia="Calibri" w:hAnsi="Calibri"/>
          <w:b/>
          <w:bCs/>
          <w:color w:val="2E5266"/>
          <w:sz w:val="32"/>
          <w:szCs w:val="32"/>
        </w:rPr>
        <w:t xml:space="preserve">Executive Summary</w:t>
      </w:r>
    </w:p>
    <w:p>
      <w:pPr>
        <w:spacing w:after="120" w:before="0" w:line="300"/>
        <w:jc w:val="left"/>
      </w:pPr>
      <w:r>
        <w:rPr>
          <w:color w:val="1F2A2E"/>
          <w:sz w:val="22"/>
          <w:szCs w:val="22"/>
        </w:rPr>
        <w:t xml:space="preserve">Vinita has spent more than two decades quietly doing some of the hardest emotional work in medicine — sitting with cardiac patients before surgery, supporting children through treatment, and steadying the staff who care for them. The opportunity now is not to reinvent that practice, but to give it a calm, modern operating layer so she can continue helping people from home, on her own terms.</w:t>
      </w:r>
    </w:p>
    <w:p>
      <w:pPr>
        <w:spacing w:after="120" w:before="0" w:line="300"/>
        <w:jc w:val="left"/>
      </w:pPr>
      <w:r>
        <w:rPr>
          <w:color w:val="1F2A2E"/>
          <w:sz w:val="22"/>
          <w:szCs w:val="22"/>
        </w:rPr>
        <w:t xml:space="preserve">Mittiva proposes to be that operating layer. We will not market her practice in any conventional sense. We will instead build a small, dignified professional presence, reactivate her existing referral network, and run the day-to-day operations — bookings, payments, reminders, follow-ups — entirely through WhatsApp. Her hands stay on the work that matters: the sessions, the clinical judgment, the human contact. Everything else is ours.</w:t>
      </w:r>
    </w:p>
    <w:p>
      <w:pPr>
        <w:spacing w:after="240" w:before="0" w:line="300"/>
        <w:jc w:val="left"/>
      </w:pPr>
      <w:r>
        <w:rPr>
          <w:color w:val="1F2A2E"/>
          <w:sz w:val="22"/>
          <w:szCs w:val="22"/>
        </w:rPr>
        <w:t xml:space="preserve">This proposal lays out the approach, the tools (kept deliberately minimal and inexpensive), the patient workflow, the service tiers, the honest economics, and a 90-day plan to get from zero to a steady 4 patients per week.</w:t>
      </w:r>
    </w:p>
    <w:p>
      <w:pPr>
        <w:pBdr>
          <w:bottom w:val="single" w:color="2E5266" w:sz="6" w:space="1"/>
        </w:pBdr>
        <w:spacing w:after="160" w:before="80"/>
      </w:pPr>
      <w:r>
        <w:t xml:space="preserve"/>
      </w:r>
    </w:p>
    <w:p>
      <w:pPr>
        <w:pStyle w:val="Heading1"/>
        <w:spacing w:after="180" w:before="360"/>
      </w:pPr>
      <w:r>
        <w:rPr>
          <w:rFonts w:ascii="Calibri" w:cs="Calibri" w:eastAsia="Calibri" w:hAnsi="Calibri"/>
          <w:b/>
          <w:bCs/>
          <w:color w:val="2E5266"/>
          <w:sz w:val="32"/>
          <w:szCs w:val="32"/>
        </w:rPr>
        <w:t xml:space="preserve">What we heard from you</w:t>
      </w:r>
    </w:p>
    <w:p>
      <w:pPr>
        <w:spacing w:after="120" w:before="0" w:line="300"/>
        <w:jc w:val="left"/>
      </w:pPr>
      <w:r>
        <w:rPr>
          <w:color w:val="1F2A2E"/>
          <w:sz w:val="22"/>
          <w:szCs w:val="22"/>
        </w:rPr>
        <w:t xml:space="preserve">Before recommending anything, we want to reflect back what you told us, so you can correct us where we got it wrong.</w:t>
      </w:r>
    </w:p>
    <w:p>
      <w:pPr>
        <w:pStyle w:val="Heading3"/>
        <w:spacing w:after="80" w:before="180"/>
      </w:pPr>
      <w:r>
        <w:rPr>
          <w:rFonts w:ascii="Calibri" w:cs="Calibri" w:eastAsia="Calibri" w:hAnsi="Calibri"/>
          <w:b/>
          <w:bCs/>
          <w:color w:val="1F2A2E"/>
          <w:sz w:val="22"/>
          <w:szCs w:val="22"/>
        </w:rPr>
        <w:t xml:space="preserve">Who you are</w:t>
      </w:r>
    </w:p>
    <w:p>
      <w:pPr>
        <w:pStyle w:val="ListParagraph"/>
        <w:numPr>
          <w:ilvl w:val="0"/>
          <w:numId w:val="2"/>
        </w:numPr>
        <w:spacing w:after="80" w:line="290"/>
      </w:pPr>
      <w:r>
        <w:rPr>
          <w:b/>
          <w:bCs/>
          <w:sz w:val="22"/>
          <w:szCs w:val="22"/>
        </w:rPr>
        <w:t xml:space="preserve">Background:  </w:t>
      </w:r>
      <w:r>
        <w:rPr>
          <w:sz w:val="22"/>
          <w:szCs w:val="22"/>
        </w:rPr>
        <w:t xml:space="preserve">Master’s in Psychology; 20+ years of clinical and hospital-based counseling.</w:t>
      </w:r>
    </w:p>
    <w:p>
      <w:pPr>
        <w:pStyle w:val="ListParagraph"/>
        <w:numPr>
          <w:ilvl w:val="0"/>
          <w:numId w:val="2"/>
        </w:numPr>
        <w:spacing w:after="80" w:line="290"/>
      </w:pPr>
      <w:r>
        <w:rPr>
          <w:b/>
          <w:bCs/>
          <w:sz w:val="22"/>
          <w:szCs w:val="22"/>
        </w:rPr>
        <w:t xml:space="preserve">Patient mix you’ve worked with:  </w:t>
      </w:r>
      <w:r>
        <w:rPr>
          <w:sz w:val="22"/>
          <w:szCs w:val="22"/>
        </w:rPr>
        <w:t xml:space="preserve">Cardiac patients, oncology and pediatric cases, emotional stress and depression, hospital staff support.</w:t>
      </w:r>
    </w:p>
    <w:p>
      <w:pPr>
        <w:pStyle w:val="ListParagraph"/>
        <w:numPr>
          <w:ilvl w:val="0"/>
          <w:numId w:val="2"/>
        </w:numPr>
        <w:spacing w:after="80" w:line="290"/>
      </w:pPr>
      <w:r>
        <w:rPr>
          <w:b/>
          <w:bCs/>
          <w:sz w:val="22"/>
          <w:szCs w:val="22"/>
        </w:rPr>
        <w:t xml:space="preserve">How patients have found you:  </w:t>
      </w:r>
      <w:r>
        <w:rPr>
          <w:sz w:val="22"/>
          <w:szCs w:val="22"/>
        </w:rPr>
        <w:t xml:space="preserve">Almost entirely physician referrals and word-of-mouth — never paid marketing.</w:t>
      </w:r>
    </w:p>
    <w:p>
      <w:pPr>
        <w:pStyle w:val="Heading3"/>
        <w:spacing w:after="80" w:before="180"/>
      </w:pPr>
      <w:r>
        <w:rPr>
          <w:rFonts w:ascii="Calibri" w:cs="Calibri" w:eastAsia="Calibri" w:hAnsi="Calibri"/>
          <w:b/>
          <w:bCs/>
          <w:color w:val="1F2A2E"/>
          <w:sz w:val="22"/>
          <w:szCs w:val="22"/>
        </w:rPr>
        <w:t xml:space="preserve">What you want next</w:t>
      </w:r>
    </w:p>
    <w:p>
      <w:pPr>
        <w:pStyle w:val="ListParagraph"/>
        <w:numPr>
          <w:ilvl w:val="0"/>
          <w:numId w:val="2"/>
        </w:numPr>
        <w:spacing w:after="80" w:line="290"/>
      </w:pPr>
      <w:r>
        <w:rPr>
          <w:b/>
          <w:bCs/>
          <w:sz w:val="22"/>
          <w:szCs w:val="22"/>
        </w:rPr>
        <w:t xml:space="preserve">Format:  </w:t>
      </w:r>
      <w:r>
        <w:rPr>
          <w:sz w:val="22"/>
          <w:szCs w:val="22"/>
        </w:rPr>
        <w:t xml:space="preserve">A move into online counseling, working primarily from home.</w:t>
      </w:r>
    </w:p>
    <w:p>
      <w:pPr>
        <w:pStyle w:val="ListParagraph"/>
        <w:numPr>
          <w:ilvl w:val="0"/>
          <w:numId w:val="2"/>
        </w:numPr>
        <w:spacing w:after="80" w:line="290"/>
      </w:pPr>
      <w:r>
        <w:rPr>
          <w:b/>
          <w:bCs/>
          <w:sz w:val="22"/>
          <w:szCs w:val="22"/>
        </w:rPr>
        <w:t xml:space="preserve">Volume:  </w:t>
      </w:r>
      <w:r>
        <w:rPr>
          <w:sz w:val="22"/>
          <w:szCs w:val="22"/>
        </w:rPr>
        <w:t xml:space="preserve">Around 4 patients per week to start — roughly 2–3 new and the rest follow-ups; comfortable with 3–4 sessions a day at full pace.</w:t>
      </w:r>
    </w:p>
    <w:p>
      <w:pPr>
        <w:pStyle w:val="ListParagraph"/>
        <w:numPr>
          <w:ilvl w:val="0"/>
          <w:numId w:val="2"/>
        </w:numPr>
        <w:spacing w:after="80" w:line="290"/>
      </w:pPr>
      <w:r>
        <w:rPr>
          <w:b/>
          <w:bCs/>
          <w:sz w:val="22"/>
          <w:szCs w:val="22"/>
        </w:rPr>
        <w:t xml:space="preserve">Rhythm:  </w:t>
      </w:r>
      <w:r>
        <w:rPr>
          <w:sz w:val="22"/>
          <w:szCs w:val="22"/>
        </w:rPr>
        <w:t xml:space="preserve">Three-week follow-up cadence; typically 3–4 sessions per patient cycle.</w:t>
      </w:r>
    </w:p>
    <w:p>
      <w:pPr>
        <w:pStyle w:val="ListParagraph"/>
        <w:numPr>
          <w:ilvl w:val="0"/>
          <w:numId w:val="2"/>
        </w:numPr>
        <w:spacing w:after="80" w:line="290"/>
      </w:pPr>
      <w:r>
        <w:rPr>
          <w:b/>
          <w:bCs/>
          <w:sz w:val="22"/>
          <w:szCs w:val="22"/>
        </w:rPr>
        <w:t xml:space="preserve">Channels:  </w:t>
      </w:r>
      <w:r>
        <w:rPr>
          <w:sz w:val="22"/>
          <w:szCs w:val="22"/>
        </w:rPr>
        <w:t xml:space="preserve">WhatsApp for everything. Simple over slick. No website right now, no Instagram campaigns, no “propaganda-style” promotion.</w:t>
      </w:r>
    </w:p>
    <w:p>
      <w:pPr>
        <w:pStyle w:val="ListParagraph"/>
        <w:numPr>
          <w:ilvl w:val="0"/>
          <w:numId w:val="2"/>
        </w:numPr>
        <w:spacing w:after="80" w:line="290"/>
      </w:pPr>
      <w:r>
        <w:rPr>
          <w:b/>
          <w:bCs/>
          <w:sz w:val="22"/>
          <w:szCs w:val="22"/>
        </w:rPr>
        <w:t xml:space="preserve">Payments:  </w:t>
      </w:r>
      <w:r>
        <w:rPr>
          <w:sz w:val="22"/>
          <w:szCs w:val="22"/>
        </w:rPr>
        <w:t xml:space="preserve">Cash, UPI, open to card. Receipts only when a patient asks.</w:t>
      </w:r>
    </w:p>
    <w:p>
      <w:pPr>
        <w:pStyle w:val="Heading3"/>
        <w:spacing w:after="80" w:before="180"/>
      </w:pPr>
      <w:r>
        <w:rPr>
          <w:rFonts w:ascii="Calibri" w:cs="Calibri" w:eastAsia="Calibri" w:hAnsi="Calibri"/>
          <w:b/>
          <w:bCs/>
          <w:color w:val="1F2A2E"/>
          <w:sz w:val="22"/>
          <w:szCs w:val="22"/>
        </w:rPr>
        <w:t xml:space="preserve">What you explicitly do not want</w:t>
      </w:r>
    </w:p>
    <w:p>
      <w:pPr>
        <w:pStyle w:val="ListParagraph"/>
        <w:numPr>
          <w:ilvl w:val="0"/>
          <w:numId w:val="2"/>
        </w:numPr>
        <w:spacing w:after="80" w:line="290"/>
      </w:pPr>
      <w:r>
        <w:rPr>
          <w:sz w:val="22"/>
          <w:szCs w:val="22"/>
        </w:rPr>
        <w:t xml:space="preserve">To feel commercialised.</w:t>
      </w:r>
    </w:p>
    <w:p>
      <w:pPr>
        <w:pStyle w:val="ListParagraph"/>
        <w:numPr>
          <w:ilvl w:val="0"/>
          <w:numId w:val="2"/>
        </w:numPr>
        <w:spacing w:after="80" w:line="290"/>
      </w:pPr>
      <w:r>
        <w:rPr>
          <w:sz w:val="22"/>
          <w:szCs w:val="22"/>
        </w:rPr>
        <w:t xml:space="preserve">To run a website or social media presence.</w:t>
      </w:r>
    </w:p>
    <w:p>
      <w:pPr>
        <w:pStyle w:val="ListParagraph"/>
        <w:numPr>
          <w:ilvl w:val="0"/>
          <w:numId w:val="2"/>
        </w:numPr>
        <w:spacing w:after="80" w:line="290"/>
      </w:pPr>
      <w:r>
        <w:rPr>
          <w:sz w:val="22"/>
          <w:szCs w:val="22"/>
        </w:rPr>
        <w:t xml:space="preserve">To be on a complicated software platform.</w:t>
      </w:r>
    </w:p>
    <w:p>
      <w:pPr>
        <w:pStyle w:val="ListParagraph"/>
        <w:numPr>
          <w:ilvl w:val="0"/>
          <w:numId w:val="2"/>
        </w:numPr>
        <w:spacing w:after="80" w:line="290"/>
      </w:pPr>
      <w:r>
        <w:rPr>
          <w:sz w:val="22"/>
          <w:szCs w:val="22"/>
        </w:rPr>
        <w:t xml:space="preserve">To chase patients or over-sell sessions.</w:t>
      </w:r>
    </w:p>
    <w:p>
      <w:pPr>
        <w:spacing w:after="240" w:before="0" w:line="300"/>
        <w:jc w:val="left"/>
      </w:pPr>
      <w:r>
        <w:rPr>
          <w:i/>
          <w:iCs/>
          <w:color w:val="5C6B73"/>
          <w:sz w:val="22"/>
          <w:szCs w:val="22"/>
        </w:rPr>
        <w:t xml:space="preserve">Everything that follows respects these boundaries. If anything in this proposal feels like it crosses them, we’ll change it.</w:t>
      </w:r>
    </w:p>
    <w:p>
      <w:pPr>
        <w:pBdr>
          <w:bottom w:val="single" w:color="2E5266" w:sz="6" w:space="1"/>
        </w:pBdr>
        <w:spacing w:after="160" w:before="80"/>
      </w:pPr>
      <w:r>
        <w:t xml:space="preserve"/>
      </w:r>
    </w:p>
    <w:p>
      <w:pPr>
        <w:pStyle w:val="Heading1"/>
        <w:spacing w:after="180" w:before="360"/>
      </w:pPr>
      <w:r>
        <w:rPr>
          <w:rFonts w:ascii="Calibri" w:cs="Calibri" w:eastAsia="Calibri" w:hAnsi="Calibri"/>
          <w:b/>
          <w:bCs/>
          <w:color w:val="2E5266"/>
          <w:sz w:val="32"/>
          <w:szCs w:val="32"/>
        </w:rPr>
        <w:t xml:space="preserve">Our approach</w:t>
      </w:r>
    </w:p>
    <w:p>
      <w:pPr>
        <w:pStyle w:val="Heading2"/>
        <w:spacing w:after="120" w:before="240"/>
      </w:pPr>
      <w:r>
        <w:rPr>
          <w:rFonts w:ascii="Calibri" w:cs="Calibri" w:eastAsia="Calibri" w:hAnsi="Calibri"/>
          <w:b/>
          <w:bCs/>
          <w:color w:val="2E5266"/>
          <w:sz w:val="26"/>
          <w:szCs w:val="26"/>
        </w:rPr>
        <w:t xml:space="preserve">Think of us as your back office, not your marketing team</w:t>
      </w:r>
    </w:p>
    <w:p>
      <w:pPr>
        <w:spacing w:after="120" w:before="0" w:line="300"/>
        <w:jc w:val="left"/>
      </w:pPr>
      <w:r>
        <w:rPr>
          <w:color w:val="1F2A2E"/>
          <w:sz w:val="22"/>
          <w:szCs w:val="22"/>
        </w:rPr>
        <w:t xml:space="preserve">The framing that fits your practice is not “agency.” It is “operating staff.” Mittiva acts as the quiet team behind your name — a receptionist, a scheduler, a payments person, a referral coordinator — all reachable through one number. Patients only ever talk to you about therapy. Everything before and after the session is handled by us.</w:t>
      </w:r>
    </w:p>
    <w:p>
      <w:pPr>
        <w:pStyle w:val="Heading2"/>
        <w:spacing w:after="120" w:before="240"/>
      </w:pPr>
      <w:r>
        <w:rPr>
          <w:rFonts w:ascii="Calibri" w:cs="Calibri" w:eastAsia="Calibri" w:hAnsi="Calibri"/>
          <w:b/>
          <w:bCs/>
          <w:color w:val="2E5266"/>
          <w:sz w:val="26"/>
          <w:szCs w:val="26"/>
        </w:rPr>
        <w:t xml:space="preserve">Three problems we solve</w:t>
      </w:r>
    </w:p>
    <w:p>
      <w:pPr>
        <w:spacing w:after="200" w:before="0" w:line="300"/>
        <w:jc w:val="left"/>
      </w:pPr>
      <w:r>
        <w:rPr>
          <w:color w:val="1F2A2E"/>
          <w:sz w:val="22"/>
          <w:szCs w:val="22"/>
        </w:rPr>
        <w:t xml:space="preserve">Your stated needs collapse into three operational problems. The rest of this document is organised around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80"/>
        <w:gridCol w:w="2780"/>
      </w:tblGrid>
      <w:tr>
        <w:tc>
          <w:tcPr>
            <w:tcW w:type="dxa" w:w="2200"/>
            <w:tcBorders>
              <w:top w:val="single" w:color="BFD0D7" w:sz="4"/>
              <w:left w:val="single" w:color="BFD0D7" w:sz="4"/>
              <w:bottom w:val="single" w:color="BFD0D7" w:sz="4"/>
              <w:right w:val="single" w:color="BFD0D7" w:sz="4"/>
            </w:tcBorders>
            <w:shd w:fill="2E5266" w:val="clear"/>
            <w:tcMar>
              <w:top w:type="dxa" w:w="120"/>
              <w:left w:type="dxa" w:w="160"/>
              <w:bottom w:type="dxa" w:w="120"/>
              <w:right w:type="dxa" w:w="160"/>
            </w:tcMar>
          </w:tcPr>
          <w:p>
            <w:pPr>
              <w:spacing w:after="0" w:line="280"/>
            </w:pPr>
            <w:r>
              <w:rPr>
                <w:b/>
                <w:bCs/>
                <w:color w:val="FFFFFF"/>
                <w:sz w:val="20"/>
                <w:szCs w:val="20"/>
              </w:rPr>
              <w:t xml:space="preserve">Problem</w:t>
            </w:r>
          </w:p>
        </w:tc>
        <w:tc>
          <w:tcPr>
            <w:tcW w:type="dxa" w:w="4380"/>
            <w:tcBorders>
              <w:top w:val="single" w:color="BFD0D7" w:sz="4"/>
              <w:left w:val="single" w:color="BFD0D7" w:sz="4"/>
              <w:bottom w:val="single" w:color="BFD0D7" w:sz="4"/>
              <w:right w:val="single" w:color="BFD0D7" w:sz="4"/>
            </w:tcBorders>
            <w:shd w:fill="2E5266" w:val="clear"/>
            <w:tcMar>
              <w:top w:type="dxa" w:w="120"/>
              <w:left w:type="dxa" w:w="160"/>
              <w:bottom w:type="dxa" w:w="120"/>
              <w:right w:type="dxa" w:w="160"/>
            </w:tcMar>
          </w:tcPr>
          <w:p>
            <w:pPr>
              <w:spacing w:after="0" w:line="280"/>
            </w:pPr>
            <w:r>
              <w:rPr>
                <w:b/>
                <w:bCs/>
                <w:color w:val="FFFFFF"/>
                <w:sz w:val="20"/>
                <w:szCs w:val="20"/>
              </w:rPr>
              <w:t xml:space="preserve">What it looks like</w:t>
            </w:r>
          </w:p>
        </w:tc>
        <w:tc>
          <w:tcPr>
            <w:tcW w:type="dxa" w:w="2780"/>
            <w:tcBorders>
              <w:top w:val="single" w:color="BFD0D7" w:sz="4"/>
              <w:left w:val="single" w:color="BFD0D7" w:sz="4"/>
              <w:bottom w:val="single" w:color="BFD0D7" w:sz="4"/>
              <w:right w:val="single" w:color="BFD0D7" w:sz="4"/>
            </w:tcBorders>
            <w:shd w:fill="2E5266" w:val="clear"/>
            <w:tcMar>
              <w:top w:type="dxa" w:w="120"/>
              <w:left w:type="dxa" w:w="160"/>
              <w:bottom w:type="dxa" w:w="120"/>
              <w:right w:type="dxa" w:w="160"/>
            </w:tcMar>
          </w:tcPr>
          <w:p>
            <w:pPr>
              <w:spacing w:after="0" w:line="280"/>
            </w:pPr>
            <w:r>
              <w:rPr>
                <w:b/>
                <w:bCs/>
                <w:color w:val="FFFFFF"/>
                <w:sz w:val="20"/>
                <w:szCs w:val="20"/>
              </w:rPr>
              <w:t xml:space="preserve">How Mittiva solves it</w:t>
            </w:r>
          </w:p>
        </w:tc>
      </w:tr>
      <w:tr>
        <w:tc>
          <w:tcPr>
            <w:tcW w:type="dxa" w:w="2200"/>
            <w:tcBorders>
              <w:top w:val="single" w:color="BFD0D7" w:sz="4"/>
              <w:left w:val="single" w:color="BFD0D7" w:sz="4"/>
              <w:bottom w:val="single" w:color="BFD0D7" w:sz="4"/>
              <w:right w:val="single" w:color="BFD0D7" w:sz="4"/>
            </w:tcBorders>
            <w:shd w:fill="E5EEF2" w:val="clear"/>
            <w:tcMar>
              <w:top w:type="dxa" w:w="120"/>
              <w:left w:type="dxa" w:w="160"/>
              <w:bottom w:type="dxa" w:w="120"/>
              <w:right w:type="dxa" w:w="160"/>
            </w:tcMar>
          </w:tcPr>
          <w:p>
            <w:pPr>
              <w:spacing w:after="0" w:line="280"/>
            </w:pPr>
            <w:r>
              <w:rPr>
                <w:b/>
                <w:bCs/>
                <w:color w:val="1F2A2E"/>
                <w:sz w:val="20"/>
                <w:szCs w:val="20"/>
              </w:rPr>
              <w:t xml:space="preserve">Discovery</w:t>
            </w:r>
          </w:p>
        </w:tc>
        <w:tc>
          <w:tcPr>
            <w:tcW w:type="dxa" w:w="438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Patients don’t know a psychologist is taking online sessions; old hospital contacts have lost touch.</w:t>
            </w:r>
          </w:p>
        </w:tc>
        <w:tc>
          <w:tcPr>
            <w:tcW w:type="dxa" w:w="278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Reactivate your doctor network; build a credible, non-promotional digital footprint.</w:t>
            </w:r>
          </w:p>
        </w:tc>
      </w:tr>
      <w:tr>
        <w:tc>
          <w:tcPr>
            <w:tcW w:type="dxa" w:w="2200"/>
            <w:tcBorders>
              <w:top w:val="single" w:color="BFD0D7" w:sz="4"/>
              <w:left w:val="single" w:color="BFD0D7" w:sz="4"/>
              <w:bottom w:val="single" w:color="BFD0D7" w:sz="4"/>
              <w:right w:val="single" w:color="BFD0D7" w:sz="4"/>
            </w:tcBorders>
            <w:shd w:fill="E5EEF2" w:val="clear"/>
            <w:tcMar>
              <w:top w:type="dxa" w:w="120"/>
              <w:left w:type="dxa" w:w="160"/>
              <w:bottom w:type="dxa" w:w="120"/>
              <w:right w:type="dxa" w:w="160"/>
            </w:tcMar>
          </w:tcPr>
          <w:p>
            <w:pPr>
              <w:spacing w:after="0" w:line="280"/>
            </w:pPr>
            <w:r>
              <w:rPr>
                <w:b/>
                <w:bCs/>
                <w:color w:val="1F2A2E"/>
                <w:sz w:val="20"/>
                <w:szCs w:val="20"/>
              </w:rPr>
              <w:t xml:space="preserve">Scheduling &amp; payments</w:t>
            </w:r>
          </w:p>
        </w:tc>
        <w:tc>
          <w:tcPr>
            <w:tcW w:type="dxa" w:w="438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Coordinating slots, sending reminders, collecting fees and chasing follow-ups eats clinical time.</w:t>
            </w:r>
          </w:p>
        </w:tc>
        <w:tc>
          <w:tcPr>
            <w:tcW w:type="dxa" w:w="278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Cal.com booking, WhatsApp confirmations and reminders, UPI/Razorpay links, automated 3-week follow-ups.</w:t>
            </w:r>
          </w:p>
        </w:tc>
      </w:tr>
      <w:tr>
        <w:tc>
          <w:tcPr>
            <w:tcW w:type="dxa" w:w="2200"/>
            <w:tcBorders>
              <w:top w:val="single" w:color="BFD0D7" w:sz="4"/>
              <w:left w:val="single" w:color="BFD0D7" w:sz="4"/>
              <w:bottom w:val="single" w:color="BFD0D7" w:sz="4"/>
              <w:right w:val="single" w:color="BFD0D7" w:sz="4"/>
            </w:tcBorders>
            <w:shd w:fill="E5EEF2" w:val="clear"/>
            <w:tcMar>
              <w:top w:type="dxa" w:w="120"/>
              <w:left w:type="dxa" w:w="160"/>
              <w:bottom w:type="dxa" w:w="120"/>
              <w:right w:type="dxa" w:w="160"/>
            </w:tcMar>
          </w:tcPr>
          <w:p>
            <w:pPr>
              <w:spacing w:after="0" w:line="280"/>
            </w:pPr>
            <w:r>
              <w:rPr>
                <w:b/>
                <w:bCs/>
                <w:color w:val="1F2A2E"/>
                <w:sz w:val="20"/>
                <w:szCs w:val="20"/>
              </w:rPr>
              <w:t xml:space="preserve">Patient continuity</w:t>
            </w:r>
          </w:p>
        </w:tc>
        <w:tc>
          <w:tcPr>
            <w:tcW w:type="dxa" w:w="438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Patients drop off between sessions or never come back for the follow-up that would have helped.</w:t>
            </w:r>
          </w:p>
        </w:tc>
        <w:tc>
          <w:tcPr>
            <w:tcW w:type="dxa" w:w="278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Light-touch WhatsApp follow-ups; we track who is mid-cycle and prompt re-engagement when appropriate.</w:t>
            </w:r>
          </w:p>
        </w:tc>
      </w:tr>
    </w:tbl>
    <w:p>
      <w:pPr>
        <w:spacing w:after="200"/>
      </w:pPr>
      <w:r>
        <w:t xml:space="preserve"/>
      </w:r>
    </w:p>
    <w:p>
      <w:pPr>
        <w:pBdr>
          <w:bottom w:val="single" w:color="2E5266" w:sz="6" w:space="1"/>
        </w:pBdr>
        <w:spacing w:after="160" w:before="80"/>
      </w:pPr>
      <w:r>
        <w:t xml:space="preserve"/>
      </w:r>
    </w:p>
    <w:p>
      <w:pPr>
        <w:pStyle w:val="Heading1"/>
        <w:spacing w:after="180" w:before="360"/>
      </w:pPr>
      <w:r>
        <w:rPr>
          <w:rFonts w:ascii="Calibri" w:cs="Calibri" w:eastAsia="Calibri" w:hAnsi="Calibri"/>
          <w:b/>
          <w:bCs/>
          <w:color w:val="2E5266"/>
          <w:sz w:val="32"/>
          <w:szCs w:val="32"/>
        </w:rPr>
        <w:t xml:space="preserve">How patients will find you</w:t>
      </w:r>
    </w:p>
    <w:p>
      <w:pPr>
        <w:spacing w:after="120" w:before="0" w:line="300"/>
        <w:jc w:val="left"/>
      </w:pPr>
      <w:r>
        <w:rPr>
          <w:color w:val="1F2A2E"/>
          <w:sz w:val="22"/>
          <w:szCs w:val="22"/>
        </w:rPr>
        <w:t xml:space="preserve">This is the most important section and the one most easily misunderstood. You said clearly: no propaganda, no Instagram, no website. Good — those would not be the highest-leverage moves anyway. The highest-leverage moves are quieter and rest on assets you already have.</w:t>
      </w:r>
    </w:p>
    <w:p>
      <w:pPr>
        <w:pStyle w:val="Heading2"/>
        <w:spacing w:after="120" w:before="240"/>
      </w:pPr>
      <w:r>
        <w:rPr>
          <w:rFonts w:ascii="Calibri" w:cs="Calibri" w:eastAsia="Calibri" w:hAnsi="Calibri"/>
          <w:b/>
          <w:bCs/>
          <w:color w:val="2E5266"/>
          <w:sz w:val="26"/>
          <w:szCs w:val="26"/>
        </w:rPr>
        <w:t xml:space="preserve">Your assets, named honestly</w:t>
      </w:r>
    </w:p>
    <w:p>
      <w:pPr>
        <w:pStyle w:val="ListParagraph"/>
        <w:numPr>
          <w:ilvl w:val="0"/>
          <w:numId w:val="2"/>
        </w:numPr>
        <w:spacing w:after="80" w:line="290"/>
      </w:pPr>
      <w:r>
        <w:rPr>
          <w:b/>
          <w:bCs/>
          <w:sz w:val="22"/>
          <w:szCs w:val="22"/>
        </w:rPr>
        <w:t xml:space="preserve">1.  </w:t>
      </w:r>
      <w:r>
        <w:rPr>
          <w:sz w:val="22"/>
          <w:szCs w:val="22"/>
        </w:rPr>
        <w:t xml:space="preserve">20+ years of hospital practice — credibility most online therapists will never have.</w:t>
      </w:r>
    </w:p>
    <w:p>
      <w:pPr>
        <w:pStyle w:val="ListParagraph"/>
        <w:numPr>
          <w:ilvl w:val="0"/>
          <w:numId w:val="2"/>
        </w:numPr>
        <w:spacing w:after="80" w:line="290"/>
      </w:pPr>
      <w:r>
        <w:rPr>
          <w:b/>
          <w:bCs/>
          <w:sz w:val="22"/>
          <w:szCs w:val="22"/>
        </w:rPr>
        <w:t xml:space="preserve">2.  </w:t>
      </w:r>
      <w:r>
        <w:rPr>
          <w:sz w:val="22"/>
          <w:szCs w:val="22"/>
        </w:rPr>
        <w:t xml:space="preserve">A live referral network — cardiologists, paediatricians, oncologists, GPs, hospital admins who have already trusted you with their patients.</w:t>
      </w:r>
    </w:p>
    <w:p>
      <w:pPr>
        <w:pStyle w:val="ListParagraph"/>
        <w:numPr>
          <w:ilvl w:val="0"/>
          <w:numId w:val="2"/>
        </w:numPr>
        <w:spacing w:after="80" w:line="290"/>
      </w:pPr>
      <w:r>
        <w:rPr>
          <w:b/>
          <w:bCs/>
          <w:sz w:val="22"/>
          <w:szCs w:val="22"/>
        </w:rPr>
        <w:t xml:space="preserve">3.  </w:t>
      </w:r>
      <w:r>
        <w:rPr>
          <w:sz w:val="22"/>
          <w:szCs w:val="22"/>
        </w:rPr>
        <w:t xml:space="preserve">Word-of-mouth track record — past patients and families who would recommend you if asked.</w:t>
      </w:r>
    </w:p>
    <w:p>
      <w:pPr>
        <w:pStyle w:val="ListParagraph"/>
        <w:numPr>
          <w:ilvl w:val="0"/>
          <w:numId w:val="2"/>
        </w:numPr>
        <w:spacing w:after="80" w:line="290"/>
      </w:pPr>
      <w:r>
        <w:rPr>
          <w:b/>
          <w:bCs/>
          <w:sz w:val="22"/>
          <w:szCs w:val="22"/>
        </w:rPr>
        <w:t xml:space="preserve">4.  </w:t>
      </w:r>
      <w:r>
        <w:rPr>
          <w:sz w:val="22"/>
          <w:szCs w:val="22"/>
        </w:rPr>
        <w:t xml:space="preserve">Demonstrated comfort across age groups (12 to 75) and case types — uncommon, and a real differentiator for family physicians who need a versatile referral.</w:t>
      </w:r>
    </w:p>
    <w:p>
      <w:pPr>
        <w:pStyle w:val="Heading2"/>
        <w:spacing w:after="120" w:before="240"/>
      </w:pPr>
      <w:r>
        <w:rPr>
          <w:rFonts w:ascii="Calibri" w:cs="Calibri" w:eastAsia="Calibri" w:hAnsi="Calibri"/>
          <w:b/>
          <w:bCs/>
          <w:color w:val="2E5266"/>
          <w:sz w:val="26"/>
          <w:szCs w:val="26"/>
        </w:rPr>
        <w:t xml:space="preserve">The channels we will use</w:t>
      </w:r>
    </w:p>
    <w:p>
      <w:pPr>
        <w:pStyle w:val="Heading3"/>
        <w:spacing w:after="80" w:before="180"/>
      </w:pPr>
      <w:r>
        <w:rPr>
          <w:rFonts w:ascii="Calibri" w:cs="Calibri" w:eastAsia="Calibri" w:hAnsi="Calibri"/>
          <w:b/>
          <w:bCs/>
          <w:color w:val="1F2A2E"/>
          <w:sz w:val="22"/>
          <w:szCs w:val="22"/>
        </w:rPr>
        <w:t xml:space="preserve">1. Doctor referral network — the engine</w:t>
      </w:r>
    </w:p>
    <w:p>
      <w:pPr>
        <w:spacing w:after="120" w:before="0" w:line="300"/>
        <w:jc w:val="left"/>
      </w:pPr>
      <w:r>
        <w:rPr>
          <w:color w:val="1F2A2E"/>
          <w:sz w:val="22"/>
          <w:szCs w:val="22"/>
        </w:rPr>
        <w:t xml:space="preserve">We help you re-introduce yourself to every doctor you have worked with in the last decade. The asset is a single, well-designed “professional card” — a clean WhatsApp-shareable PDF with your credentials, scope of practice, and a one-tap booking link. Doctors regularly meet patients who need psychological support and have nowhere good to send them. Make it effortless to send them to you, and they will. This alone is expected to drive the majority of early patients.</w:t>
      </w:r>
    </w:p>
    <w:p>
      <w:pPr>
        <w:pStyle w:val="Heading3"/>
        <w:spacing w:after="80" w:before="180"/>
      </w:pPr>
      <w:r>
        <w:rPr>
          <w:rFonts w:ascii="Calibri" w:cs="Calibri" w:eastAsia="Calibri" w:hAnsi="Calibri"/>
          <w:b/>
          <w:bCs/>
          <w:color w:val="1F2A2E"/>
          <w:sz w:val="22"/>
          <w:szCs w:val="22"/>
        </w:rPr>
        <w:t xml:space="preserve">2. Google Business Profile</w:t>
      </w:r>
    </w:p>
    <w:p>
      <w:pPr>
        <w:spacing w:after="120" w:before="0" w:line="300"/>
        <w:jc w:val="left"/>
      </w:pPr>
      <w:r>
        <w:rPr>
          <w:color w:val="1F2A2E"/>
          <w:sz w:val="22"/>
          <w:szCs w:val="22"/>
        </w:rPr>
        <w:t xml:space="preserve">When a patient near you types “clinical psychologist online India” or “online counseling Punjab” into Google, you should appear with a verified profile, reviews from past patients, and a WhatsApp button. This is not advertising; it is being findable. Setup is free.</w:t>
      </w:r>
    </w:p>
    <w:p>
      <w:pPr>
        <w:pStyle w:val="Heading3"/>
        <w:spacing w:after="80" w:before="180"/>
      </w:pPr>
      <w:r>
        <w:rPr>
          <w:rFonts w:ascii="Calibri" w:cs="Calibri" w:eastAsia="Calibri" w:hAnsi="Calibri"/>
          <w:b/>
          <w:bCs/>
          <w:color w:val="1F2A2E"/>
          <w:sz w:val="22"/>
          <w:szCs w:val="22"/>
        </w:rPr>
        <w:t xml:space="preserve">3. Professional directories (Practo, Lybrate, Justdial Health)</w:t>
      </w:r>
    </w:p>
    <w:p>
      <w:pPr>
        <w:spacing w:after="120" w:before="0" w:line="300"/>
        <w:jc w:val="left"/>
      </w:pPr>
      <w:r>
        <w:rPr>
          <w:color w:val="1F2A2E"/>
          <w:sz w:val="22"/>
          <w:szCs w:val="22"/>
        </w:rPr>
        <w:t xml:space="preserve">Patients self-select onto these platforms looking for licensed clinicians. You will be listed plainly — credentials, fee, online availability — without testimonials or marketing copy. We monitor the inbox and route inquiries to your booking link via WhatsApp.</w:t>
      </w:r>
    </w:p>
    <w:p>
      <w:pPr>
        <w:pStyle w:val="Heading3"/>
        <w:spacing w:after="80" w:before="180"/>
      </w:pPr>
      <w:r>
        <w:rPr>
          <w:rFonts w:ascii="Calibri" w:cs="Calibri" w:eastAsia="Calibri" w:hAnsi="Calibri"/>
          <w:b/>
          <w:bCs/>
          <w:color w:val="1F2A2E"/>
          <w:sz w:val="22"/>
          <w:szCs w:val="22"/>
        </w:rPr>
        <w:t xml:space="preserve">4. Hospital re-engagement letter</w:t>
      </w:r>
    </w:p>
    <w:p>
      <w:pPr>
        <w:spacing w:after="120" w:before="0" w:line="300"/>
        <w:jc w:val="left"/>
      </w:pPr>
      <w:r>
        <w:rPr>
          <w:color w:val="1F2A2E"/>
          <w:sz w:val="22"/>
          <w:szCs w:val="22"/>
        </w:rPr>
        <w:t xml:space="preserve">A short, professional note to past hospital contacts — department heads, senior doctors, nursing supervisors — letting them know you are now available for outpatient online referrals, with your booking link. One letter, one-time, professionally written.</w:t>
      </w:r>
    </w:p>
    <w:p>
      <w:pPr>
        <w:pStyle w:val="Heading3"/>
        <w:spacing w:after="80" w:before="180"/>
      </w:pPr>
      <w:r>
        <w:rPr>
          <w:rFonts w:ascii="Calibri" w:cs="Calibri" w:eastAsia="Calibri" w:hAnsi="Calibri"/>
          <w:b/>
          <w:bCs/>
          <w:color w:val="1F2A2E"/>
          <w:sz w:val="22"/>
          <w:szCs w:val="22"/>
        </w:rPr>
        <w:t xml:space="preserve">5. Past-patient reactivation (only where appropriate)</w:t>
      </w:r>
    </w:p>
    <w:p>
      <w:pPr>
        <w:spacing w:after="120" w:before="0" w:line="300"/>
        <w:jc w:val="left"/>
      </w:pPr>
      <w:r>
        <w:rPr>
          <w:color w:val="1F2A2E"/>
          <w:sz w:val="22"/>
          <w:szCs w:val="22"/>
        </w:rPr>
        <w:t xml:space="preserve">For past patients you remain in contact with, a single, ethically considered message that you are now available online — and that you’d be grateful for referrals to anyone they think might benefit. This is done with your explicit case-by-case approval; we will not contact anyone unilaterally.</w:t>
      </w:r>
    </w:p>
    <w:p>
      <w:pPr>
        <w:pStyle w:val="Heading2"/>
        <w:spacing w:after="120" w:before="240"/>
      </w:pPr>
      <w:r>
        <w:rPr>
          <w:rFonts w:ascii="Calibri" w:cs="Calibri" w:eastAsia="Calibri" w:hAnsi="Calibri"/>
          <w:b/>
          <w:bCs/>
          <w:color w:val="2E5266"/>
          <w:sz w:val="26"/>
          <w:szCs w:val="26"/>
        </w:rPr>
        <w:t xml:space="preserve">Channels we deliberately are not using</w:t>
      </w:r>
    </w:p>
    <w:p>
      <w:pPr>
        <w:pStyle w:val="ListParagraph"/>
        <w:numPr>
          <w:ilvl w:val="0"/>
          <w:numId w:val="2"/>
        </w:numPr>
        <w:spacing w:after="80" w:line="290"/>
      </w:pPr>
      <w:r>
        <w:rPr>
          <w:sz w:val="22"/>
          <w:szCs w:val="22"/>
        </w:rPr>
        <w:t xml:space="preserve">No Instagram, Facebook, YouTube or TikTok content.</w:t>
      </w:r>
    </w:p>
    <w:p>
      <w:pPr>
        <w:pStyle w:val="ListParagraph"/>
        <w:numPr>
          <w:ilvl w:val="0"/>
          <w:numId w:val="2"/>
        </w:numPr>
        <w:spacing w:after="80" w:line="290"/>
      </w:pPr>
      <w:r>
        <w:rPr>
          <w:sz w:val="22"/>
          <w:szCs w:val="22"/>
        </w:rPr>
        <w:t xml:space="preserve">No paid digital ads in the early months.</w:t>
      </w:r>
    </w:p>
    <w:p>
      <w:pPr>
        <w:pStyle w:val="ListParagraph"/>
        <w:numPr>
          <w:ilvl w:val="0"/>
          <w:numId w:val="2"/>
        </w:numPr>
        <w:spacing w:after="80" w:line="290"/>
      </w:pPr>
      <w:r>
        <w:rPr>
          <w:sz w:val="22"/>
          <w:szCs w:val="22"/>
        </w:rPr>
        <w:t xml:space="preserve">No website — until and unless you change your mind. (If you ever do, a single-page profile site can be built in a day.)</w:t>
      </w:r>
    </w:p>
    <w:p>
      <w:pPr>
        <w:pStyle w:val="ListParagraph"/>
        <w:numPr>
          <w:ilvl w:val="0"/>
          <w:numId w:val="2"/>
        </w:numPr>
        <w:spacing w:after="80" w:line="290"/>
      </w:pPr>
      <w:r>
        <w:rPr>
          <w:sz w:val="22"/>
          <w:szCs w:val="22"/>
        </w:rPr>
        <w:t xml:space="preserve">No before-and-after stories, no testimonials gathered without explicit informed consent, no fear-based copy.</w:t>
      </w:r>
    </w:p>
    <w:p>
      <w:pPr>
        <w:spacing w:after="200" w:before="0" w:line="300"/>
        <w:jc w:val="left"/>
      </w:pPr>
      <w:r>
        <w:rPr>
          <w:i/>
          <w:iCs/>
          <w:color w:val="5C6B73"/>
          <w:sz w:val="22"/>
          <w:szCs w:val="22"/>
        </w:rPr>
        <w:t xml:space="preserve">This isn’t a moral position; it’s a strategic one. Your authority comes from your training and your hospitals. We are going to amplify that, not paper over it.</w:t>
      </w:r>
    </w:p>
    <w:p>
      <w:pPr>
        <w:pBdr>
          <w:bottom w:val="single" w:color="2E5266" w:sz="6" w:space="1"/>
        </w:pBdr>
        <w:spacing w:after="160" w:before="80"/>
      </w:pPr>
      <w:r>
        <w:t xml:space="preserve"/>
      </w:r>
    </w:p>
    <w:p>
      <w:pPr>
        <w:pStyle w:val="Heading1"/>
        <w:spacing w:after="180" w:before="360"/>
      </w:pPr>
      <w:r>
        <w:rPr>
          <w:rFonts w:ascii="Calibri" w:cs="Calibri" w:eastAsia="Calibri" w:hAnsi="Calibri"/>
          <w:b/>
          <w:bCs/>
          <w:color w:val="2E5266"/>
          <w:sz w:val="32"/>
          <w:szCs w:val="32"/>
        </w:rPr>
        <w:t xml:space="preserve">The tech stack, kept deliberately small</w:t>
      </w:r>
    </w:p>
    <w:p>
      <w:pPr>
        <w:spacing w:after="120" w:before="0" w:line="300"/>
        <w:jc w:val="left"/>
      </w:pPr>
      <w:r>
        <w:rPr>
          <w:color w:val="1F2A2E"/>
          <w:sz w:val="22"/>
          <w:szCs w:val="22"/>
        </w:rPr>
        <w:t xml:space="preserve">Everything we use is either free or costs a few hundred rupees a month. You will not learn a new platform. Your only interface is WhatsApp and Google Calendar — both of which you already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1600"/>
        <w:gridCol w:w="1600"/>
      </w:tblGrid>
      <w:tr>
        <w:tc>
          <w:tcPr>
            <w:tcW w:type="dxa" w:w="2400"/>
            <w:tcBorders>
              <w:top w:val="single" w:color="BFD0D7" w:sz="4"/>
              <w:left w:val="single" w:color="BFD0D7" w:sz="4"/>
              <w:bottom w:val="single" w:color="BFD0D7" w:sz="4"/>
              <w:right w:val="single" w:color="BFD0D7" w:sz="4"/>
            </w:tcBorders>
            <w:shd w:fill="2E5266" w:val="clear"/>
            <w:tcMar>
              <w:top w:type="dxa" w:w="120"/>
              <w:left w:type="dxa" w:w="160"/>
              <w:bottom w:type="dxa" w:w="120"/>
              <w:right w:type="dxa" w:w="160"/>
            </w:tcMar>
          </w:tcPr>
          <w:p>
            <w:pPr>
              <w:spacing w:after="0" w:line="280"/>
            </w:pPr>
            <w:r>
              <w:rPr>
                <w:b/>
                <w:bCs/>
                <w:color w:val="FFFFFF"/>
                <w:sz w:val="20"/>
                <w:szCs w:val="20"/>
              </w:rPr>
              <w:t xml:space="preserve">Function</w:t>
            </w:r>
          </w:p>
        </w:tc>
        <w:tc>
          <w:tcPr>
            <w:tcW w:type="dxa" w:w="3760"/>
            <w:tcBorders>
              <w:top w:val="single" w:color="BFD0D7" w:sz="4"/>
              <w:left w:val="single" w:color="BFD0D7" w:sz="4"/>
              <w:bottom w:val="single" w:color="BFD0D7" w:sz="4"/>
              <w:right w:val="single" w:color="BFD0D7" w:sz="4"/>
            </w:tcBorders>
            <w:shd w:fill="2E5266" w:val="clear"/>
            <w:tcMar>
              <w:top w:type="dxa" w:w="120"/>
              <w:left w:type="dxa" w:w="160"/>
              <w:bottom w:type="dxa" w:w="120"/>
              <w:right w:type="dxa" w:w="160"/>
            </w:tcMar>
          </w:tcPr>
          <w:p>
            <w:pPr>
              <w:spacing w:after="0" w:line="280"/>
            </w:pPr>
            <w:r>
              <w:rPr>
                <w:b/>
                <w:bCs/>
                <w:color w:val="FFFFFF"/>
                <w:sz w:val="20"/>
                <w:szCs w:val="20"/>
              </w:rPr>
              <w:t xml:space="preserve">Tool</w:t>
            </w:r>
          </w:p>
        </w:tc>
        <w:tc>
          <w:tcPr>
            <w:tcW w:type="dxa" w:w="1600"/>
            <w:tcBorders>
              <w:top w:val="single" w:color="BFD0D7" w:sz="4"/>
              <w:left w:val="single" w:color="BFD0D7" w:sz="4"/>
              <w:bottom w:val="single" w:color="BFD0D7" w:sz="4"/>
              <w:right w:val="single" w:color="BFD0D7" w:sz="4"/>
            </w:tcBorders>
            <w:shd w:fill="2E5266" w:val="clear"/>
            <w:tcMar>
              <w:top w:type="dxa" w:w="120"/>
              <w:left w:type="dxa" w:w="160"/>
              <w:bottom w:type="dxa" w:w="120"/>
              <w:right w:type="dxa" w:w="160"/>
            </w:tcMar>
          </w:tcPr>
          <w:p>
            <w:pPr>
              <w:spacing w:after="0" w:line="280"/>
            </w:pPr>
            <w:r>
              <w:rPr>
                <w:b/>
                <w:bCs/>
                <w:color w:val="FFFFFF"/>
                <w:sz w:val="20"/>
                <w:szCs w:val="20"/>
              </w:rPr>
              <w:t xml:space="preserve">Cost / month</w:t>
            </w:r>
          </w:p>
        </w:tc>
        <w:tc>
          <w:tcPr>
            <w:tcW w:type="dxa" w:w="1600"/>
            <w:tcBorders>
              <w:top w:val="single" w:color="BFD0D7" w:sz="4"/>
              <w:left w:val="single" w:color="BFD0D7" w:sz="4"/>
              <w:bottom w:val="single" w:color="BFD0D7" w:sz="4"/>
              <w:right w:val="single" w:color="BFD0D7" w:sz="4"/>
            </w:tcBorders>
            <w:shd w:fill="2E5266" w:val="clear"/>
            <w:tcMar>
              <w:top w:type="dxa" w:w="120"/>
              <w:left w:type="dxa" w:w="160"/>
              <w:bottom w:type="dxa" w:w="120"/>
              <w:right w:type="dxa" w:w="160"/>
            </w:tcMar>
          </w:tcPr>
          <w:p>
            <w:pPr>
              <w:spacing w:after="0" w:line="280"/>
            </w:pPr>
            <w:r>
              <w:rPr>
                <w:b/>
                <w:bCs/>
                <w:color w:val="FFFFFF"/>
                <w:sz w:val="20"/>
                <w:szCs w:val="20"/>
              </w:rPr>
              <w:t xml:space="preserve">Who uses it</w:t>
            </w:r>
          </w:p>
        </w:tc>
      </w:tr>
      <w:tr>
        <w:tc>
          <w:tcPr>
            <w:tcW w:type="dxa" w:w="24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b/>
                <w:bCs/>
                <w:color w:val="1F2A2E"/>
                <w:sz w:val="20"/>
                <w:szCs w:val="20"/>
              </w:rPr>
              <w:t xml:space="preserve">Patient messaging</w:t>
            </w:r>
          </w:p>
        </w:tc>
        <w:tc>
          <w:tcPr>
            <w:tcW w:type="dxa" w:w="376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WhatsApp Business (free) → Interakt/AiSensy API once volume warrants</w:t>
            </w:r>
          </w:p>
        </w:tc>
        <w:tc>
          <w:tcPr>
            <w:tcW w:type="dxa" w:w="16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₹0 → ₹999</w:t>
            </w:r>
          </w:p>
        </w:tc>
        <w:tc>
          <w:tcPr>
            <w:tcW w:type="dxa" w:w="16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You + Mittiva</w:t>
            </w:r>
          </w:p>
        </w:tc>
      </w:tr>
      <w:tr>
        <w:tc>
          <w:tcPr>
            <w:tcW w:type="dxa" w:w="24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b/>
                <w:bCs/>
                <w:color w:val="1F2A2E"/>
                <w:sz w:val="20"/>
                <w:szCs w:val="20"/>
              </w:rPr>
              <w:t xml:space="preserve">Booking</w:t>
            </w:r>
          </w:p>
        </w:tc>
        <w:tc>
          <w:tcPr>
            <w:tcW w:type="dxa" w:w="376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Cal.com (free tier) connected to your Google Calendar</w:t>
            </w:r>
          </w:p>
        </w:tc>
        <w:tc>
          <w:tcPr>
            <w:tcW w:type="dxa" w:w="16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₹0</w:t>
            </w:r>
          </w:p>
        </w:tc>
        <w:tc>
          <w:tcPr>
            <w:tcW w:type="dxa" w:w="16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Patient + Mittiva</w:t>
            </w:r>
          </w:p>
        </w:tc>
      </w:tr>
      <w:tr>
        <w:tc>
          <w:tcPr>
            <w:tcW w:type="dxa" w:w="24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b/>
                <w:bCs/>
                <w:color w:val="1F2A2E"/>
                <w:sz w:val="20"/>
                <w:szCs w:val="20"/>
              </w:rPr>
              <w:t xml:space="preserve">Calendar</w:t>
            </w:r>
          </w:p>
        </w:tc>
        <w:tc>
          <w:tcPr>
            <w:tcW w:type="dxa" w:w="376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Google Calendar (your existing one)</w:t>
            </w:r>
          </w:p>
        </w:tc>
        <w:tc>
          <w:tcPr>
            <w:tcW w:type="dxa" w:w="16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₹0</w:t>
            </w:r>
          </w:p>
        </w:tc>
        <w:tc>
          <w:tcPr>
            <w:tcW w:type="dxa" w:w="16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You</w:t>
            </w:r>
          </w:p>
        </w:tc>
      </w:tr>
      <w:tr>
        <w:tc>
          <w:tcPr>
            <w:tcW w:type="dxa" w:w="24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b/>
                <w:bCs/>
                <w:color w:val="1F2A2E"/>
                <w:sz w:val="20"/>
                <w:szCs w:val="20"/>
              </w:rPr>
              <w:t xml:space="preserve">Intake form</w:t>
            </w:r>
          </w:p>
        </w:tc>
        <w:tc>
          <w:tcPr>
            <w:tcW w:type="dxa" w:w="376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Google Forms (one short form per patient)</w:t>
            </w:r>
          </w:p>
        </w:tc>
        <w:tc>
          <w:tcPr>
            <w:tcW w:type="dxa" w:w="16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₹0</w:t>
            </w:r>
          </w:p>
        </w:tc>
        <w:tc>
          <w:tcPr>
            <w:tcW w:type="dxa" w:w="16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Patient + Mittiva</w:t>
            </w:r>
          </w:p>
        </w:tc>
      </w:tr>
      <w:tr>
        <w:tc>
          <w:tcPr>
            <w:tcW w:type="dxa" w:w="24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b/>
                <w:bCs/>
                <w:color w:val="1F2A2E"/>
                <w:sz w:val="20"/>
                <w:szCs w:val="20"/>
              </w:rPr>
              <w:t xml:space="preserve">Payments</w:t>
            </w:r>
          </w:p>
        </w:tc>
        <w:tc>
          <w:tcPr>
            <w:tcW w:type="dxa" w:w="376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Razorpay Payment Links + UPI QR code</w:t>
            </w:r>
          </w:p>
        </w:tc>
        <w:tc>
          <w:tcPr>
            <w:tcW w:type="dxa" w:w="16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0; ~2% per transaction</w:t>
            </w:r>
          </w:p>
        </w:tc>
        <w:tc>
          <w:tcPr>
            <w:tcW w:type="dxa" w:w="16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Patient + Mittiva</w:t>
            </w:r>
          </w:p>
        </w:tc>
      </w:tr>
      <w:tr>
        <w:tc>
          <w:tcPr>
            <w:tcW w:type="dxa" w:w="24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b/>
                <w:bCs/>
                <w:color w:val="1F2A2E"/>
                <w:sz w:val="20"/>
                <w:szCs w:val="20"/>
              </w:rPr>
              <w:t xml:space="preserve">Receipts</w:t>
            </w:r>
          </w:p>
        </w:tc>
        <w:tc>
          <w:tcPr>
            <w:tcW w:type="dxa" w:w="376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Auto-generated by Razorpay; Google Docs template for cash</w:t>
            </w:r>
          </w:p>
        </w:tc>
        <w:tc>
          <w:tcPr>
            <w:tcW w:type="dxa" w:w="16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₹0</w:t>
            </w:r>
          </w:p>
        </w:tc>
        <w:tc>
          <w:tcPr>
            <w:tcW w:type="dxa" w:w="16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Mittiva</w:t>
            </w:r>
          </w:p>
        </w:tc>
      </w:tr>
      <w:tr>
        <w:tc>
          <w:tcPr>
            <w:tcW w:type="dxa" w:w="24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b/>
                <w:bCs/>
                <w:color w:val="1F2A2E"/>
                <w:sz w:val="20"/>
                <w:szCs w:val="20"/>
              </w:rPr>
              <w:t xml:space="preserve">Patient records (lightweight)</w:t>
            </w:r>
          </w:p>
        </w:tc>
        <w:tc>
          <w:tcPr>
            <w:tcW w:type="dxa" w:w="376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Google Sheets — name, contact, sessions, notes flag</w:t>
            </w:r>
          </w:p>
        </w:tc>
        <w:tc>
          <w:tcPr>
            <w:tcW w:type="dxa" w:w="16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₹0</w:t>
            </w:r>
          </w:p>
        </w:tc>
        <w:tc>
          <w:tcPr>
            <w:tcW w:type="dxa" w:w="16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Mittiva (you read-only)</w:t>
            </w:r>
          </w:p>
        </w:tc>
      </w:tr>
      <w:tr>
        <w:tc>
          <w:tcPr>
            <w:tcW w:type="dxa" w:w="24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b/>
                <w:bCs/>
                <w:color w:val="1F2A2E"/>
                <w:sz w:val="20"/>
                <w:szCs w:val="20"/>
              </w:rPr>
              <w:t xml:space="preserve">Video sessions</w:t>
            </w:r>
          </w:p>
        </w:tc>
        <w:tc>
          <w:tcPr>
            <w:tcW w:type="dxa" w:w="376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Google Meet (auto-attached to calendar invite)</w:t>
            </w:r>
          </w:p>
        </w:tc>
        <w:tc>
          <w:tcPr>
            <w:tcW w:type="dxa" w:w="16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₹0</w:t>
            </w:r>
          </w:p>
        </w:tc>
        <w:tc>
          <w:tcPr>
            <w:tcW w:type="dxa" w:w="16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You + Patient</w:t>
            </w:r>
          </w:p>
        </w:tc>
      </w:tr>
      <w:tr>
        <w:tc>
          <w:tcPr>
            <w:tcW w:type="dxa" w:w="24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b/>
                <w:bCs/>
                <w:color w:val="1F2A2E"/>
                <w:sz w:val="20"/>
                <w:szCs w:val="20"/>
              </w:rPr>
              <w:t xml:space="preserve">Discovery</w:t>
            </w:r>
          </w:p>
        </w:tc>
        <w:tc>
          <w:tcPr>
            <w:tcW w:type="dxa" w:w="376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Google Business Profile, Practo basic, Lybrate, Justdial Health</w:t>
            </w:r>
          </w:p>
        </w:tc>
        <w:tc>
          <w:tcPr>
            <w:tcW w:type="dxa" w:w="16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₹0</w:t>
            </w:r>
          </w:p>
        </w:tc>
        <w:tc>
          <w:tcPr>
            <w:tcW w:type="dxa" w:w="16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Mittiva</w:t>
            </w:r>
          </w:p>
        </w:tc>
      </w:tr>
    </w:tbl>
    <w:p>
      <w:pPr>
        <w:spacing w:after="120"/>
      </w:pPr>
      <w:r>
        <w:t xml:space="preserve"/>
      </w:r>
    </w:p>
    <w:p>
      <w:pPr>
        <w:spacing w:after="200" w:before="0" w:line="300"/>
        <w:jc w:val="left"/>
      </w:pPr>
      <w:r>
        <w:rPr>
          <w:i/>
          <w:iCs/>
          <w:color w:val="5C6B73"/>
          <w:sz w:val="22"/>
          <w:szCs w:val="22"/>
        </w:rPr>
        <w:t xml:space="preserve">Total tech spend in month one: under ₹500. Even at full volume: under ₹3,000/month. Nothing is locked in; everything is replaceable.</w:t>
      </w:r>
    </w:p>
    <w:p>
      <w:pPr>
        <w:pBdr>
          <w:bottom w:val="single" w:color="2E5266" w:sz="6" w:space="1"/>
        </w:pBdr>
        <w:spacing w:after="160" w:before="80"/>
      </w:pPr>
      <w:r>
        <w:t xml:space="preserve"/>
      </w:r>
    </w:p>
    <w:p>
      <w:pPr>
        <w:pStyle w:val="Heading1"/>
        <w:spacing w:after="180" w:before="360"/>
      </w:pPr>
      <w:r>
        <w:rPr>
          <w:rFonts w:ascii="Calibri" w:cs="Calibri" w:eastAsia="Calibri" w:hAnsi="Calibri"/>
          <w:b/>
          <w:bCs/>
          <w:color w:val="2E5266"/>
          <w:sz w:val="32"/>
          <w:szCs w:val="32"/>
        </w:rPr>
        <w:t xml:space="preserve">The patient journey, end to end</w:t>
      </w:r>
    </w:p>
    <w:p>
      <w:pPr>
        <w:spacing w:after="120" w:before="0" w:line="300"/>
        <w:jc w:val="left"/>
      </w:pPr>
      <w:r>
        <w:rPr>
          <w:color w:val="1F2A2E"/>
          <w:sz w:val="22"/>
          <w:szCs w:val="22"/>
        </w:rPr>
        <w:t xml:space="preserve">This is what a patient experiences from the moment they hear your name to the moment they finish their cycle of sessions. Everything in italics is Mittiva — you only see steps 5 and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BFD0D7" w:sz="4"/>
              <w:left w:val="single" w:color="BFD0D7" w:sz="4"/>
              <w:bottom w:val="single" w:color="BFD0D7" w:sz="4"/>
              <w:right w:val="single" w:color="BFD0D7" w:sz="4"/>
            </w:tcBorders>
            <w:shd w:fill="2E5266" w:val="clear"/>
            <w:tcMar>
              <w:top w:type="dxa" w:w="120"/>
              <w:left w:type="dxa" w:w="160"/>
              <w:bottom w:type="dxa" w:w="120"/>
              <w:right w:type="dxa" w:w="160"/>
            </w:tcMar>
          </w:tcPr>
          <w:p>
            <w:pPr>
              <w:spacing w:after="0" w:line="280"/>
            </w:pPr>
            <w:r>
              <w:rPr>
                <w:b/>
                <w:bCs/>
                <w:color w:val="FFFFFF"/>
                <w:sz w:val="20"/>
                <w:szCs w:val="20"/>
              </w:rPr>
              <w:t xml:space="preserve">#</w:t>
            </w:r>
          </w:p>
        </w:tc>
        <w:tc>
          <w:tcPr>
            <w:tcW w:type="dxa" w:w="2400"/>
            <w:tcBorders>
              <w:top w:val="single" w:color="BFD0D7" w:sz="4"/>
              <w:left w:val="single" w:color="BFD0D7" w:sz="4"/>
              <w:bottom w:val="single" w:color="BFD0D7" w:sz="4"/>
              <w:right w:val="single" w:color="BFD0D7" w:sz="4"/>
            </w:tcBorders>
            <w:shd w:fill="2E5266" w:val="clear"/>
            <w:tcMar>
              <w:top w:type="dxa" w:w="120"/>
              <w:left w:type="dxa" w:w="160"/>
              <w:bottom w:type="dxa" w:w="120"/>
              <w:right w:type="dxa" w:w="160"/>
            </w:tcMar>
          </w:tcPr>
          <w:p>
            <w:pPr>
              <w:spacing w:after="0" w:line="280"/>
            </w:pPr>
            <w:r>
              <w:rPr>
                <w:b/>
                <w:bCs/>
                <w:color w:val="FFFFFF"/>
                <w:sz w:val="20"/>
                <w:szCs w:val="20"/>
              </w:rPr>
              <w:t xml:space="preserve">Step</w:t>
            </w:r>
          </w:p>
        </w:tc>
        <w:tc>
          <w:tcPr>
            <w:tcW w:type="dxa" w:w="6360"/>
            <w:tcBorders>
              <w:top w:val="single" w:color="BFD0D7" w:sz="4"/>
              <w:left w:val="single" w:color="BFD0D7" w:sz="4"/>
              <w:bottom w:val="single" w:color="BFD0D7" w:sz="4"/>
              <w:right w:val="single" w:color="BFD0D7" w:sz="4"/>
            </w:tcBorders>
            <w:shd w:fill="2E5266" w:val="clear"/>
            <w:tcMar>
              <w:top w:type="dxa" w:w="120"/>
              <w:left w:type="dxa" w:w="160"/>
              <w:bottom w:type="dxa" w:w="120"/>
              <w:right w:type="dxa" w:w="160"/>
            </w:tcMar>
          </w:tcPr>
          <w:p>
            <w:pPr>
              <w:spacing w:after="0" w:line="280"/>
            </w:pPr>
            <w:r>
              <w:rPr>
                <w:b/>
                <w:bCs/>
                <w:color w:val="FFFFFF"/>
                <w:sz w:val="20"/>
                <w:szCs w:val="20"/>
              </w:rPr>
              <w:t xml:space="preserve">What happens</w:t>
            </w:r>
          </w:p>
        </w:tc>
      </w:tr>
      <w:tr>
        <w:tc>
          <w:tcPr>
            <w:tcW w:type="dxa" w:w="600"/>
            <w:tcBorders>
              <w:top w:val="single" w:color="BFD0D7" w:sz="4"/>
              <w:left w:val="single" w:color="BFD0D7" w:sz="4"/>
              <w:bottom w:val="single" w:color="BFD0D7" w:sz="4"/>
              <w:right w:val="single" w:color="BFD0D7" w:sz="4"/>
            </w:tcBorders>
            <w:shd w:fill="E5EEF2" w:val="clear"/>
            <w:tcMar>
              <w:top w:type="dxa" w:w="120"/>
              <w:left w:type="dxa" w:w="160"/>
              <w:bottom w:type="dxa" w:w="120"/>
              <w:right w:type="dxa" w:w="160"/>
            </w:tcMar>
          </w:tcPr>
          <w:p>
            <w:pPr>
              <w:spacing w:after="0" w:line="280"/>
            </w:pPr>
            <w:r>
              <w:rPr>
                <w:b/>
                <w:bCs/>
                <w:color w:val="1F2A2E"/>
                <w:sz w:val="20"/>
                <w:szCs w:val="20"/>
              </w:rPr>
              <w:t xml:space="preserve">1</w:t>
            </w:r>
          </w:p>
        </w:tc>
        <w:tc>
          <w:tcPr>
            <w:tcW w:type="dxa" w:w="24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b/>
                <w:bCs/>
                <w:color w:val="1F2A2E"/>
                <w:sz w:val="20"/>
                <w:szCs w:val="20"/>
              </w:rPr>
              <w:t xml:space="preserve">Discovery</w:t>
            </w:r>
          </w:p>
        </w:tc>
        <w:tc>
          <w:tcPr>
            <w:tcW w:type="dxa" w:w="636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Patient hears your name from a referring doctor, sees your Google Business Profile, or finds you on Practo / Lybrate.</w:t>
            </w:r>
          </w:p>
        </w:tc>
      </w:tr>
      <w:tr>
        <w:tc>
          <w:tcPr>
            <w:tcW w:type="dxa" w:w="600"/>
            <w:tcBorders>
              <w:top w:val="single" w:color="BFD0D7" w:sz="4"/>
              <w:left w:val="single" w:color="BFD0D7" w:sz="4"/>
              <w:bottom w:val="single" w:color="BFD0D7" w:sz="4"/>
              <w:right w:val="single" w:color="BFD0D7" w:sz="4"/>
            </w:tcBorders>
            <w:shd w:fill="E5EEF2" w:val="clear"/>
            <w:tcMar>
              <w:top w:type="dxa" w:w="120"/>
              <w:left w:type="dxa" w:w="160"/>
              <w:bottom w:type="dxa" w:w="120"/>
              <w:right w:type="dxa" w:w="160"/>
            </w:tcMar>
          </w:tcPr>
          <w:p>
            <w:pPr>
              <w:spacing w:after="0" w:line="280"/>
            </w:pPr>
            <w:r>
              <w:rPr>
                <w:b/>
                <w:bCs/>
                <w:color w:val="1F2A2E"/>
                <w:sz w:val="20"/>
                <w:szCs w:val="20"/>
              </w:rPr>
              <w:t xml:space="preserve">2</w:t>
            </w:r>
          </w:p>
        </w:tc>
        <w:tc>
          <w:tcPr>
            <w:tcW w:type="dxa" w:w="24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b/>
                <w:bCs/>
                <w:color w:val="1F2A2E"/>
                <w:sz w:val="20"/>
                <w:szCs w:val="20"/>
              </w:rPr>
              <w:t xml:space="preserve">First message</w:t>
            </w:r>
          </w:p>
        </w:tc>
        <w:tc>
          <w:tcPr>
            <w:tcW w:type="dxa" w:w="636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Patient WhatsApps your published number. Mittiva replies within 30 minutes (during working hours) with a warm acknowledgement and your booking link.</w:t>
            </w:r>
          </w:p>
        </w:tc>
      </w:tr>
      <w:tr>
        <w:tc>
          <w:tcPr>
            <w:tcW w:type="dxa" w:w="600"/>
            <w:tcBorders>
              <w:top w:val="single" w:color="BFD0D7" w:sz="4"/>
              <w:left w:val="single" w:color="BFD0D7" w:sz="4"/>
              <w:bottom w:val="single" w:color="BFD0D7" w:sz="4"/>
              <w:right w:val="single" w:color="BFD0D7" w:sz="4"/>
            </w:tcBorders>
            <w:shd w:fill="E5EEF2" w:val="clear"/>
            <w:tcMar>
              <w:top w:type="dxa" w:w="120"/>
              <w:left w:type="dxa" w:w="160"/>
              <w:bottom w:type="dxa" w:w="120"/>
              <w:right w:type="dxa" w:w="160"/>
            </w:tcMar>
          </w:tcPr>
          <w:p>
            <w:pPr>
              <w:spacing w:after="0" w:line="280"/>
            </w:pPr>
            <w:r>
              <w:rPr>
                <w:b/>
                <w:bCs/>
                <w:color w:val="1F2A2E"/>
                <w:sz w:val="20"/>
                <w:szCs w:val="20"/>
              </w:rPr>
              <w:t xml:space="preserve">3</w:t>
            </w:r>
          </w:p>
        </w:tc>
        <w:tc>
          <w:tcPr>
            <w:tcW w:type="dxa" w:w="24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b/>
                <w:bCs/>
                <w:color w:val="1F2A2E"/>
                <w:sz w:val="20"/>
                <w:szCs w:val="20"/>
              </w:rPr>
              <w:t xml:space="preserve">Booking &amp; intake</w:t>
            </w:r>
          </w:p>
        </w:tc>
        <w:tc>
          <w:tcPr>
            <w:tcW w:type="dxa" w:w="636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Patient picks a slot on Cal.com (only your available times appear) and fills a 6-question intake form. Mittiva confirms by WhatsApp.</w:t>
            </w:r>
          </w:p>
        </w:tc>
      </w:tr>
      <w:tr>
        <w:tc>
          <w:tcPr>
            <w:tcW w:type="dxa" w:w="600"/>
            <w:tcBorders>
              <w:top w:val="single" w:color="BFD0D7" w:sz="4"/>
              <w:left w:val="single" w:color="BFD0D7" w:sz="4"/>
              <w:bottom w:val="single" w:color="BFD0D7" w:sz="4"/>
              <w:right w:val="single" w:color="BFD0D7" w:sz="4"/>
            </w:tcBorders>
            <w:shd w:fill="E5EEF2" w:val="clear"/>
            <w:tcMar>
              <w:top w:type="dxa" w:w="120"/>
              <w:left w:type="dxa" w:w="160"/>
              <w:bottom w:type="dxa" w:w="120"/>
              <w:right w:type="dxa" w:w="160"/>
            </w:tcMar>
          </w:tcPr>
          <w:p>
            <w:pPr>
              <w:spacing w:after="0" w:line="280"/>
            </w:pPr>
            <w:r>
              <w:rPr>
                <w:b/>
                <w:bCs/>
                <w:color w:val="1F2A2E"/>
                <w:sz w:val="20"/>
                <w:szCs w:val="20"/>
              </w:rPr>
              <w:t xml:space="preserve">4</w:t>
            </w:r>
          </w:p>
        </w:tc>
        <w:tc>
          <w:tcPr>
            <w:tcW w:type="dxa" w:w="24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b/>
                <w:bCs/>
                <w:color w:val="1F2A2E"/>
                <w:sz w:val="20"/>
                <w:szCs w:val="20"/>
              </w:rPr>
              <w:t xml:space="preserve">Payment</w:t>
            </w:r>
          </w:p>
        </w:tc>
        <w:tc>
          <w:tcPr>
            <w:tcW w:type="dxa" w:w="636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Razorpay link or UPI QR sent on WhatsApp. Patient pays before the session. If they prefer cash in person (in-clinic visits), Mittiva flags this on your calendar.</w:t>
            </w:r>
          </w:p>
        </w:tc>
      </w:tr>
      <w:tr>
        <w:tc>
          <w:tcPr>
            <w:tcW w:type="dxa" w:w="600"/>
            <w:tcBorders>
              <w:top w:val="single" w:color="BFD0D7" w:sz="4"/>
              <w:left w:val="single" w:color="BFD0D7" w:sz="4"/>
              <w:bottom w:val="single" w:color="BFD0D7" w:sz="4"/>
              <w:right w:val="single" w:color="BFD0D7" w:sz="4"/>
            </w:tcBorders>
            <w:shd w:fill="E5EEF2" w:val="clear"/>
            <w:tcMar>
              <w:top w:type="dxa" w:w="120"/>
              <w:left w:type="dxa" w:w="160"/>
              <w:bottom w:type="dxa" w:w="120"/>
              <w:right w:type="dxa" w:w="160"/>
            </w:tcMar>
          </w:tcPr>
          <w:p>
            <w:pPr>
              <w:spacing w:after="0" w:line="280"/>
            </w:pPr>
            <w:r>
              <w:rPr>
                <w:b/>
                <w:bCs/>
                <w:color w:val="1F2A2E"/>
                <w:sz w:val="20"/>
                <w:szCs w:val="20"/>
              </w:rPr>
              <w:t xml:space="preserve">5</w:t>
            </w:r>
          </w:p>
        </w:tc>
        <w:tc>
          <w:tcPr>
            <w:tcW w:type="dxa" w:w="24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b/>
                <w:bCs/>
                <w:color w:val="1F2A2E"/>
                <w:sz w:val="20"/>
                <w:szCs w:val="20"/>
              </w:rPr>
              <w:t xml:space="preserve">Session</w:t>
            </w:r>
          </w:p>
        </w:tc>
        <w:tc>
          <w:tcPr>
            <w:tcW w:type="dxa" w:w="636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Google Meet link is in the calendar invite. You join. You do what you do. You jot a one-line case note when you’re done — optional.</w:t>
            </w:r>
          </w:p>
        </w:tc>
      </w:tr>
      <w:tr>
        <w:tc>
          <w:tcPr>
            <w:tcW w:type="dxa" w:w="600"/>
            <w:tcBorders>
              <w:top w:val="single" w:color="BFD0D7" w:sz="4"/>
              <w:left w:val="single" w:color="BFD0D7" w:sz="4"/>
              <w:bottom w:val="single" w:color="BFD0D7" w:sz="4"/>
              <w:right w:val="single" w:color="BFD0D7" w:sz="4"/>
            </w:tcBorders>
            <w:shd w:fill="E5EEF2" w:val="clear"/>
            <w:tcMar>
              <w:top w:type="dxa" w:w="120"/>
              <w:left w:type="dxa" w:w="160"/>
              <w:bottom w:type="dxa" w:w="120"/>
              <w:right w:type="dxa" w:w="160"/>
            </w:tcMar>
          </w:tcPr>
          <w:p>
            <w:pPr>
              <w:spacing w:after="0" w:line="280"/>
            </w:pPr>
            <w:r>
              <w:rPr>
                <w:b/>
                <w:bCs/>
                <w:color w:val="1F2A2E"/>
                <w:sz w:val="20"/>
                <w:szCs w:val="20"/>
              </w:rPr>
              <w:t xml:space="preserve">6</w:t>
            </w:r>
          </w:p>
        </w:tc>
        <w:tc>
          <w:tcPr>
            <w:tcW w:type="dxa" w:w="24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b/>
                <w:bCs/>
                <w:color w:val="1F2A2E"/>
                <w:sz w:val="20"/>
                <w:szCs w:val="20"/>
              </w:rPr>
              <w:t xml:space="preserve">Reminder &amp; follow-up scheduling</w:t>
            </w:r>
          </w:p>
        </w:tc>
        <w:tc>
          <w:tcPr>
            <w:tcW w:type="dxa" w:w="636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Automated WhatsApp reminder 24h before the session. After the session, Mittiva schedules the next slot (default: 3 weeks out, configurable per patient).</w:t>
            </w:r>
          </w:p>
        </w:tc>
      </w:tr>
      <w:tr>
        <w:tc>
          <w:tcPr>
            <w:tcW w:type="dxa" w:w="600"/>
            <w:tcBorders>
              <w:top w:val="single" w:color="BFD0D7" w:sz="4"/>
              <w:left w:val="single" w:color="BFD0D7" w:sz="4"/>
              <w:bottom w:val="single" w:color="BFD0D7" w:sz="4"/>
              <w:right w:val="single" w:color="BFD0D7" w:sz="4"/>
            </w:tcBorders>
            <w:shd w:fill="E5EEF2" w:val="clear"/>
            <w:tcMar>
              <w:top w:type="dxa" w:w="120"/>
              <w:left w:type="dxa" w:w="160"/>
              <w:bottom w:type="dxa" w:w="120"/>
              <w:right w:type="dxa" w:w="160"/>
            </w:tcMar>
          </w:tcPr>
          <w:p>
            <w:pPr>
              <w:spacing w:after="0" w:line="280"/>
            </w:pPr>
            <w:r>
              <w:rPr>
                <w:b/>
                <w:bCs/>
                <w:color w:val="1F2A2E"/>
                <w:sz w:val="20"/>
                <w:szCs w:val="20"/>
              </w:rPr>
              <w:t xml:space="preserve">7</w:t>
            </w:r>
          </w:p>
        </w:tc>
        <w:tc>
          <w:tcPr>
            <w:tcW w:type="dxa" w:w="24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b/>
                <w:bCs/>
                <w:color w:val="1F2A2E"/>
                <w:sz w:val="20"/>
                <w:szCs w:val="20"/>
              </w:rPr>
              <w:t xml:space="preserve">Closure or continuation</w:t>
            </w:r>
          </w:p>
        </w:tc>
        <w:tc>
          <w:tcPr>
            <w:tcW w:type="dxa" w:w="636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After ~3–4 sessions, you signal whether to close the case or extend. Mittiva sends a closing note, optional receipt summary, and keeps the door open for future contact.</w:t>
            </w:r>
          </w:p>
        </w:tc>
      </w:tr>
    </w:tbl>
    <w:p>
      <w:pPr>
        <w:spacing w:after="160"/>
      </w:pPr>
      <w:r>
        <w:t xml:space="preserve"/>
      </w:r>
    </w:p>
    <w:p>
      <w:pPr>
        <w:spacing w:after="240" w:before="0" w:line="300"/>
        <w:jc w:val="left"/>
      </w:pPr>
      <w:r>
        <w:rPr>
          <w:b/>
          <w:bCs/>
          <w:color w:val="2E5266"/>
          <w:sz w:val="22"/>
          <w:szCs w:val="22"/>
        </w:rPr>
        <w:t xml:space="preserve">Your time on operations: realistically under 15 minutes per day, mostly approving the next-day schedule on WhatsApp.</w:t>
      </w:r>
    </w:p>
    <w:p>
      <w:pPr>
        <w:pBdr>
          <w:bottom w:val="single" w:color="2E5266" w:sz="6" w:space="1"/>
        </w:pBdr>
        <w:spacing w:after="160" w:before="80"/>
      </w:pPr>
      <w:r>
        <w:t xml:space="preserve"/>
      </w:r>
    </w:p>
    <w:p>
      <w:pPr>
        <w:pStyle w:val="Heading1"/>
        <w:spacing w:after="180" w:before="360"/>
      </w:pPr>
      <w:r>
        <w:rPr>
          <w:rFonts w:ascii="Calibri" w:cs="Calibri" w:eastAsia="Calibri" w:hAnsi="Calibri"/>
          <w:b/>
          <w:bCs/>
          <w:color w:val="2E5266"/>
          <w:sz w:val="32"/>
          <w:szCs w:val="32"/>
        </w:rPr>
        <w:t xml:space="preserve">What Mittiva does for you</w:t>
      </w:r>
    </w:p>
    <w:p>
      <w:pPr>
        <w:spacing w:after="120" w:before="0" w:line="300"/>
        <w:jc w:val="left"/>
      </w:pPr>
      <w:r>
        <w:rPr>
          <w:color w:val="1F2A2E"/>
          <w:sz w:val="22"/>
          <w:szCs w:val="22"/>
        </w:rPr>
        <w:t xml:space="preserve">We propose a simple two-part engagement: a one-time setup, and a monthly retainer that covers all of the above on an ongoing basis.</w:t>
      </w:r>
    </w:p>
    <w:p>
      <w:pPr>
        <w:pStyle w:val="Heading2"/>
        <w:spacing w:after="120" w:before="240"/>
      </w:pPr>
      <w:r>
        <w:rPr>
          <w:rFonts w:ascii="Calibri" w:cs="Calibri" w:eastAsia="Calibri" w:hAnsi="Calibri"/>
          <w:b/>
          <w:bCs/>
          <w:color w:val="2E5266"/>
          <w:sz w:val="26"/>
          <w:szCs w:val="26"/>
        </w:rPr>
        <w:t xml:space="preserve">One-time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BFD0D7" w:sz="4"/>
              <w:left w:val="single" w:color="BFD0D7" w:sz="4"/>
              <w:bottom w:val="single" w:color="BFD0D7" w:sz="4"/>
              <w:right w:val="single" w:color="BFD0D7" w:sz="4"/>
            </w:tcBorders>
            <w:shd w:fill="2E5266" w:val="clear"/>
            <w:tcMar>
              <w:top w:type="dxa" w:w="120"/>
              <w:left w:type="dxa" w:w="160"/>
              <w:bottom w:type="dxa" w:w="120"/>
              <w:right w:type="dxa" w:w="160"/>
            </w:tcMar>
          </w:tcPr>
          <w:p>
            <w:pPr>
              <w:spacing w:after="0" w:line="280"/>
            </w:pPr>
            <w:r>
              <w:rPr>
                <w:b/>
                <w:bCs/>
                <w:color w:val="FFFFFF"/>
                <w:sz w:val="20"/>
                <w:szCs w:val="20"/>
              </w:rPr>
              <w:t xml:space="preserve">Included in setup</w:t>
            </w:r>
          </w:p>
        </w:tc>
        <w:tc>
          <w:tcPr>
            <w:tcW w:type="dxa" w:w="3000"/>
            <w:tcBorders>
              <w:top w:val="single" w:color="BFD0D7" w:sz="4"/>
              <w:left w:val="single" w:color="BFD0D7" w:sz="4"/>
              <w:bottom w:val="single" w:color="BFD0D7" w:sz="4"/>
              <w:right w:val="single" w:color="BFD0D7" w:sz="4"/>
            </w:tcBorders>
            <w:shd w:fill="2E5266" w:val="clear"/>
            <w:tcMar>
              <w:top w:type="dxa" w:w="120"/>
              <w:left w:type="dxa" w:w="160"/>
              <w:bottom w:type="dxa" w:w="120"/>
              <w:right w:type="dxa" w:w="160"/>
            </w:tcMar>
          </w:tcPr>
          <w:p>
            <w:pPr>
              <w:spacing w:after="0" w:line="280"/>
            </w:pPr>
            <w:r>
              <w:rPr>
                <w:b/>
                <w:bCs/>
                <w:color w:val="FFFFFF"/>
                <w:sz w:val="20"/>
                <w:szCs w:val="20"/>
              </w:rPr>
              <w:t xml:space="preserve">Timeline</w:t>
            </w:r>
          </w:p>
        </w:tc>
      </w:tr>
      <w:tr>
        <w:tc>
          <w:tcPr>
            <w:tcW w:type="dxa" w:w="636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Brand voice + intake script drafted in your tone</w:t>
            </w:r>
          </w:p>
        </w:tc>
        <w:tc>
          <w:tcPr>
            <w:tcW w:type="dxa" w:w="30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Days 1–3</w:t>
            </w:r>
          </w:p>
        </w:tc>
      </w:tr>
      <w:tr>
        <w:tc>
          <w:tcPr>
            <w:tcW w:type="dxa" w:w="636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WhatsApp Business profile with welcome message and quick replies</w:t>
            </w:r>
          </w:p>
        </w:tc>
        <w:tc>
          <w:tcPr>
            <w:tcW w:type="dxa" w:w="30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Days 1–3</w:t>
            </w:r>
          </w:p>
        </w:tc>
      </w:tr>
      <w:tr>
        <w:tc>
          <w:tcPr>
            <w:tcW w:type="dxa" w:w="636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Cal.com booking page configured with your availability and session types</w:t>
            </w:r>
          </w:p>
        </w:tc>
        <w:tc>
          <w:tcPr>
            <w:tcW w:type="dxa" w:w="30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Days 3–5</w:t>
            </w:r>
          </w:p>
        </w:tc>
      </w:tr>
      <w:tr>
        <w:tc>
          <w:tcPr>
            <w:tcW w:type="dxa" w:w="636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Razorpay account + payment links + UPI QR</w:t>
            </w:r>
          </w:p>
        </w:tc>
        <w:tc>
          <w:tcPr>
            <w:tcW w:type="dxa" w:w="30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Days 3–5</w:t>
            </w:r>
          </w:p>
        </w:tc>
      </w:tr>
      <w:tr>
        <w:tc>
          <w:tcPr>
            <w:tcW w:type="dxa" w:w="636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Google Business Profile created and verified</w:t>
            </w:r>
          </w:p>
        </w:tc>
        <w:tc>
          <w:tcPr>
            <w:tcW w:type="dxa" w:w="30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Days 5–14 (verification waits on Google)</w:t>
            </w:r>
          </w:p>
        </w:tc>
      </w:tr>
      <w:tr>
        <w:tc>
          <w:tcPr>
            <w:tcW w:type="dxa" w:w="636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Practo, Lybrate, Justdial Health listings — basic plans only</w:t>
            </w:r>
          </w:p>
        </w:tc>
        <w:tc>
          <w:tcPr>
            <w:tcW w:type="dxa" w:w="30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Days 5–10</w:t>
            </w:r>
          </w:p>
        </w:tc>
      </w:tr>
      <w:tr>
        <w:tc>
          <w:tcPr>
            <w:tcW w:type="dxa" w:w="636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Professional referral card (PDF) designed for doctor network</w:t>
            </w:r>
          </w:p>
        </w:tc>
        <w:tc>
          <w:tcPr>
            <w:tcW w:type="dxa" w:w="30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Days 5–8</w:t>
            </w:r>
          </w:p>
        </w:tc>
      </w:tr>
      <w:tr>
        <w:tc>
          <w:tcPr>
            <w:tcW w:type="dxa" w:w="636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Hospital re-engagement letter drafted for your review</w:t>
            </w:r>
          </w:p>
        </w:tc>
        <w:tc>
          <w:tcPr>
            <w:tcW w:type="dxa" w:w="30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Days 7–10</w:t>
            </w:r>
          </w:p>
        </w:tc>
      </w:tr>
      <w:tr>
        <w:tc>
          <w:tcPr>
            <w:tcW w:type="dxa" w:w="636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Standard WhatsApp templates: intake, reminder, payment, follow-up, closing</w:t>
            </w:r>
          </w:p>
        </w:tc>
        <w:tc>
          <w:tcPr>
            <w:tcW w:type="dxa" w:w="30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Days 7–10</w:t>
            </w:r>
          </w:p>
        </w:tc>
      </w:tr>
      <w:tr>
        <w:tc>
          <w:tcPr>
            <w:tcW w:type="dxa" w:w="636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Internal CRM sheet + handover walkthrough with you</w:t>
            </w:r>
          </w:p>
        </w:tc>
        <w:tc>
          <w:tcPr>
            <w:tcW w:type="dxa" w:w="30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Days 12–14</w:t>
            </w:r>
          </w:p>
        </w:tc>
      </w:tr>
      <w:tr>
        <w:tc>
          <w:tcPr>
            <w:tcW w:type="dxa" w:w="6360"/>
            <w:tcBorders>
              <w:top w:val="single" w:color="BFD0D7" w:sz="4"/>
              <w:left w:val="single" w:color="BFD0D7" w:sz="4"/>
              <w:bottom w:val="single" w:color="BFD0D7" w:sz="4"/>
              <w:right w:val="single" w:color="BFD0D7" w:sz="4"/>
            </w:tcBorders>
            <w:shd w:fill="E5EEF2" w:val="clear"/>
            <w:tcMar>
              <w:top w:type="dxa" w:w="120"/>
              <w:left w:type="dxa" w:w="160"/>
              <w:bottom w:type="dxa" w:w="120"/>
              <w:right w:type="dxa" w:w="160"/>
            </w:tcMar>
          </w:tcPr>
          <w:p>
            <w:pPr>
              <w:spacing w:after="0" w:line="280"/>
            </w:pPr>
            <w:r>
              <w:rPr>
                <w:b/>
                <w:bCs/>
                <w:color w:val="1F2A2E"/>
                <w:sz w:val="20"/>
                <w:szCs w:val="20"/>
              </w:rPr>
              <w:t xml:space="preserve">One-time setup fee</w:t>
            </w:r>
          </w:p>
        </w:tc>
        <w:tc>
          <w:tcPr>
            <w:tcW w:type="dxa" w:w="3000"/>
            <w:tcBorders>
              <w:top w:val="single" w:color="BFD0D7" w:sz="4"/>
              <w:left w:val="single" w:color="BFD0D7" w:sz="4"/>
              <w:bottom w:val="single" w:color="BFD0D7" w:sz="4"/>
              <w:right w:val="single" w:color="BFD0D7" w:sz="4"/>
            </w:tcBorders>
            <w:shd w:fill="E5EEF2" w:val="clear"/>
            <w:tcMar>
              <w:top w:type="dxa" w:w="120"/>
              <w:left w:type="dxa" w:w="160"/>
              <w:bottom w:type="dxa" w:w="120"/>
              <w:right w:type="dxa" w:w="160"/>
            </w:tcMar>
          </w:tcPr>
          <w:p>
            <w:pPr>
              <w:spacing w:after="0" w:line="280"/>
            </w:pPr>
            <w:r>
              <w:rPr>
                <w:b/>
                <w:bCs/>
                <w:color w:val="2E5266"/>
                <w:sz w:val="20"/>
                <w:szCs w:val="20"/>
              </w:rPr>
              <w:t xml:space="preserve">₹15,000</w:t>
            </w:r>
          </w:p>
        </w:tc>
      </w:tr>
    </w:tbl>
    <w:p>
      <w:pPr>
        <w:spacing w:after="200"/>
      </w:pPr>
      <w:r>
        <w:t xml:space="preserve"/>
      </w:r>
    </w:p>
    <w:p>
      <w:pPr>
        <w:pStyle w:val="Heading2"/>
        <w:spacing w:after="120" w:before="240"/>
      </w:pPr>
      <w:r>
        <w:rPr>
          <w:rFonts w:ascii="Calibri" w:cs="Calibri" w:eastAsia="Calibri" w:hAnsi="Calibri"/>
          <w:b/>
          <w:bCs/>
          <w:color w:val="2E5266"/>
          <w:sz w:val="26"/>
          <w:szCs w:val="26"/>
        </w:rPr>
        <w:t xml:space="preserve">Monthly retainer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BFD0D7" w:sz="4"/>
              <w:left w:val="single" w:color="BFD0D7" w:sz="4"/>
              <w:bottom w:val="single" w:color="BFD0D7" w:sz="4"/>
              <w:right w:val="single" w:color="BFD0D7" w:sz="4"/>
            </w:tcBorders>
            <w:shd w:fill="2E5266" w:val="clear"/>
            <w:tcMar>
              <w:top w:type="dxa" w:w="120"/>
              <w:left w:type="dxa" w:w="160"/>
              <w:bottom w:type="dxa" w:w="120"/>
              <w:right w:type="dxa" w:w="160"/>
            </w:tcMar>
          </w:tcPr>
          <w:p>
            <w:pPr>
              <w:spacing w:after="0" w:line="280"/>
            </w:pPr>
            <w:r>
              <w:rPr>
                <w:b/>
                <w:bCs/>
                <w:color w:val="FFFFFF"/>
                <w:sz w:val="20"/>
                <w:szCs w:val="20"/>
              </w:rPr>
              <w:t xml:space="preserve">Included every month</w:t>
            </w:r>
          </w:p>
        </w:tc>
        <w:tc>
          <w:tcPr>
            <w:tcW w:type="dxa" w:w="3000"/>
            <w:tcBorders>
              <w:top w:val="single" w:color="BFD0D7" w:sz="4"/>
              <w:left w:val="single" w:color="BFD0D7" w:sz="4"/>
              <w:bottom w:val="single" w:color="BFD0D7" w:sz="4"/>
              <w:right w:val="single" w:color="BFD0D7" w:sz="4"/>
            </w:tcBorders>
            <w:shd w:fill="2E5266" w:val="clear"/>
            <w:tcMar>
              <w:top w:type="dxa" w:w="120"/>
              <w:left w:type="dxa" w:w="160"/>
              <w:bottom w:type="dxa" w:w="120"/>
              <w:right w:type="dxa" w:w="160"/>
            </w:tcMar>
          </w:tcPr>
          <w:p>
            <w:pPr>
              <w:spacing w:after="0" w:line="280"/>
            </w:pPr>
            <w:r>
              <w:rPr>
                <w:b/>
                <w:bCs/>
                <w:color w:val="FFFFFF"/>
                <w:sz w:val="20"/>
                <w:szCs w:val="20"/>
              </w:rPr>
              <w:t xml:space="preserve">SLA / cadence</w:t>
            </w:r>
          </w:p>
        </w:tc>
      </w:tr>
      <w:tr>
        <w:tc>
          <w:tcPr>
            <w:tcW w:type="dxa" w:w="636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All inbound patient WhatsApp inquiries handled by Mittiva</w:t>
            </w:r>
          </w:p>
        </w:tc>
        <w:tc>
          <w:tcPr>
            <w:tcW w:type="dxa" w:w="30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Replies within 30 min, 9am–9pm</w:t>
            </w:r>
          </w:p>
        </w:tc>
      </w:tr>
      <w:tr>
        <w:tc>
          <w:tcPr>
            <w:tcW w:type="dxa" w:w="636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Booking, rescheduling, cancellation management</w:t>
            </w:r>
          </w:p>
        </w:tc>
        <w:tc>
          <w:tcPr>
            <w:tcW w:type="dxa" w:w="30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Same day</w:t>
            </w:r>
          </w:p>
        </w:tc>
      </w:tr>
      <w:tr>
        <w:tc>
          <w:tcPr>
            <w:tcW w:type="dxa" w:w="636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Payment collection, follow-ups on unpaid links, receipt issuance on request</w:t>
            </w:r>
          </w:p>
        </w:tc>
        <w:tc>
          <w:tcPr>
            <w:tcW w:type="dxa" w:w="30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Within 24h</w:t>
            </w:r>
          </w:p>
        </w:tc>
      </w:tr>
      <w:tr>
        <w:tc>
          <w:tcPr>
            <w:tcW w:type="dxa" w:w="636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Automated 24-hour session reminders</w:t>
            </w:r>
          </w:p>
        </w:tc>
        <w:tc>
          <w:tcPr>
            <w:tcW w:type="dxa" w:w="30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Daily</w:t>
            </w:r>
          </w:p>
        </w:tc>
      </w:tr>
      <w:tr>
        <w:tc>
          <w:tcPr>
            <w:tcW w:type="dxa" w:w="636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3-week follow-up scheduling per your default cadence</w:t>
            </w:r>
          </w:p>
        </w:tc>
        <w:tc>
          <w:tcPr>
            <w:tcW w:type="dxa" w:w="30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Per patient</w:t>
            </w:r>
          </w:p>
        </w:tc>
      </w:tr>
      <w:tr>
        <w:tc>
          <w:tcPr>
            <w:tcW w:type="dxa" w:w="636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Quarterly re-engagement of doctor referral network</w:t>
            </w:r>
          </w:p>
        </w:tc>
        <w:tc>
          <w:tcPr>
            <w:tcW w:type="dxa" w:w="30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Once / quarter</w:t>
            </w:r>
          </w:p>
        </w:tc>
      </w:tr>
      <w:tr>
        <w:tc>
          <w:tcPr>
            <w:tcW w:type="dxa" w:w="636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One discovery channel optimisation per month (listing refresh, profile updates, new directory)</w:t>
            </w:r>
          </w:p>
        </w:tc>
        <w:tc>
          <w:tcPr>
            <w:tcW w:type="dxa" w:w="30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Monthly</w:t>
            </w:r>
          </w:p>
        </w:tc>
      </w:tr>
      <w:tr>
        <w:tc>
          <w:tcPr>
            <w:tcW w:type="dxa" w:w="636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Monthly report: new patients, sessions, revenue, source breakdown</w:t>
            </w:r>
          </w:p>
        </w:tc>
        <w:tc>
          <w:tcPr>
            <w:tcW w:type="dxa" w:w="30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By the 3rd of next month</w:t>
            </w:r>
          </w:p>
        </w:tc>
      </w:tr>
      <w:tr>
        <w:tc>
          <w:tcPr>
            <w:tcW w:type="dxa" w:w="636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A single point of contact (WhatsApp + email) for anything you need</w:t>
            </w:r>
          </w:p>
        </w:tc>
        <w:tc>
          <w:tcPr>
            <w:tcW w:type="dxa" w:w="30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Always-on</w:t>
            </w:r>
          </w:p>
        </w:tc>
      </w:tr>
      <w:tr>
        <w:tc>
          <w:tcPr>
            <w:tcW w:type="dxa" w:w="6360"/>
            <w:tcBorders>
              <w:top w:val="single" w:color="BFD0D7" w:sz="4"/>
              <w:left w:val="single" w:color="BFD0D7" w:sz="4"/>
              <w:bottom w:val="single" w:color="BFD0D7" w:sz="4"/>
              <w:right w:val="single" w:color="BFD0D7" w:sz="4"/>
            </w:tcBorders>
            <w:shd w:fill="E5EEF2" w:val="clear"/>
            <w:tcMar>
              <w:top w:type="dxa" w:w="120"/>
              <w:left w:type="dxa" w:w="160"/>
              <w:bottom w:type="dxa" w:w="120"/>
              <w:right w:type="dxa" w:w="160"/>
            </w:tcMar>
          </w:tcPr>
          <w:p>
            <w:pPr>
              <w:spacing w:after="0" w:line="280"/>
            </w:pPr>
            <w:r>
              <w:rPr>
                <w:b/>
                <w:bCs/>
                <w:color w:val="1F2A2E"/>
                <w:sz w:val="20"/>
                <w:szCs w:val="20"/>
              </w:rPr>
              <w:t xml:space="preserve">Monthly retainer</w:t>
            </w:r>
          </w:p>
        </w:tc>
        <w:tc>
          <w:tcPr>
            <w:tcW w:type="dxa" w:w="3000"/>
            <w:tcBorders>
              <w:top w:val="single" w:color="BFD0D7" w:sz="4"/>
              <w:left w:val="single" w:color="BFD0D7" w:sz="4"/>
              <w:bottom w:val="single" w:color="BFD0D7" w:sz="4"/>
              <w:right w:val="single" w:color="BFD0D7" w:sz="4"/>
            </w:tcBorders>
            <w:shd w:fill="E5EEF2" w:val="clear"/>
            <w:tcMar>
              <w:top w:type="dxa" w:w="120"/>
              <w:left w:type="dxa" w:w="160"/>
              <w:bottom w:type="dxa" w:w="120"/>
              <w:right w:type="dxa" w:w="160"/>
            </w:tcMar>
          </w:tcPr>
          <w:p>
            <w:pPr>
              <w:spacing w:after="0" w:line="280"/>
            </w:pPr>
            <w:r>
              <w:rPr>
                <w:b/>
                <w:bCs/>
                <w:color w:val="2E5266"/>
                <w:sz w:val="20"/>
                <w:szCs w:val="20"/>
              </w:rPr>
              <w:t xml:space="preserve">₹12,000 / month</w:t>
            </w:r>
          </w:p>
        </w:tc>
      </w:tr>
    </w:tbl>
    <w:p>
      <w:pPr>
        <w:spacing w:after="160"/>
      </w:pPr>
      <w:r>
        <w:t xml:space="preserve"/>
      </w:r>
    </w:p>
    <w:p>
      <w:pPr>
        <w:pStyle w:val="Heading3"/>
        <w:spacing w:after="80" w:before="180"/>
      </w:pPr>
      <w:r>
        <w:rPr>
          <w:rFonts w:ascii="Calibri" w:cs="Calibri" w:eastAsia="Calibri" w:hAnsi="Calibri"/>
          <w:b/>
          <w:bCs/>
          <w:color w:val="1F2A2E"/>
          <w:sz w:val="22"/>
          <w:szCs w:val="22"/>
        </w:rPr>
        <w:t xml:space="preserve">Optional growth share (recommended)</w:t>
      </w:r>
    </w:p>
    <w:p>
      <w:pPr>
        <w:spacing w:after="120" w:before="0" w:line="300"/>
        <w:jc w:val="left"/>
      </w:pPr>
      <w:r>
        <w:rPr>
          <w:color w:val="1F2A2E"/>
          <w:sz w:val="22"/>
          <w:szCs w:val="22"/>
        </w:rPr>
        <w:t xml:space="preserve">To align our incentives with yours, we propose an additional 10% share of revenue from any new patient acquired through directories or Google Business Profile, for that patient’s first six months only. Doctor referrals are excluded — those are your network, not ours. This caps our incentive to push volume and keeps the relationship honest.</w:t>
      </w:r>
    </w:p>
    <w:p>
      <w:pPr>
        <w:pBdr>
          <w:bottom w:val="single" w:color="2E5266" w:sz="6" w:space="1"/>
        </w:pBdr>
        <w:spacing w:after="160" w:before="80"/>
      </w:pPr>
      <w:r>
        <w:t xml:space="preserve"/>
      </w:r>
    </w:p>
    <w:p>
      <w:pPr>
        <w:pStyle w:val="Heading1"/>
        <w:spacing w:after="180" w:before="360"/>
      </w:pPr>
      <w:r>
        <w:rPr>
          <w:rFonts w:ascii="Calibri" w:cs="Calibri" w:eastAsia="Calibri" w:hAnsi="Calibri"/>
          <w:b/>
          <w:bCs/>
          <w:color w:val="2E5266"/>
          <w:sz w:val="32"/>
          <w:szCs w:val="32"/>
        </w:rPr>
        <w:t xml:space="preserve">Honest economics</w:t>
      </w:r>
    </w:p>
    <w:p>
      <w:pPr>
        <w:spacing w:after="120" w:before="0" w:line="300"/>
        <w:jc w:val="left"/>
      </w:pPr>
      <w:r>
        <w:rPr>
          <w:color w:val="1F2A2E"/>
          <w:sz w:val="22"/>
          <w:szCs w:val="22"/>
        </w:rPr>
        <w:t xml:space="preserve">Here is what the numbers look like at the volume you described, with conservative assumptions. We have used ₹1,500 per session — modest given your experience — so the picture only improves if you charge more, which we think you should.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c>
          <w:tcPr>
            <w:tcW w:type="dxa" w:w="3960"/>
            <w:tcBorders>
              <w:top w:val="single" w:color="BFD0D7" w:sz="4"/>
              <w:left w:val="single" w:color="BFD0D7" w:sz="4"/>
              <w:bottom w:val="single" w:color="BFD0D7" w:sz="4"/>
              <w:right w:val="single" w:color="BFD0D7" w:sz="4"/>
            </w:tcBorders>
            <w:shd w:fill="2E5266" w:val="clear"/>
            <w:tcMar>
              <w:top w:type="dxa" w:w="120"/>
              <w:left w:type="dxa" w:w="160"/>
              <w:bottom w:type="dxa" w:w="120"/>
              <w:right w:type="dxa" w:w="160"/>
            </w:tcMar>
          </w:tcPr>
          <w:p>
            <w:pPr>
              <w:spacing w:after="0" w:line="280"/>
            </w:pPr>
            <w:r>
              <w:rPr>
                <w:b/>
                <w:bCs/>
                <w:color w:val="FFFFFF"/>
                <w:sz w:val="20"/>
                <w:szCs w:val="20"/>
              </w:rPr>
              <w:t xml:space="preserve">Scenario</w:t>
            </w:r>
          </w:p>
        </w:tc>
        <w:tc>
          <w:tcPr>
            <w:tcW w:type="dxa" w:w="1800"/>
            <w:tcBorders>
              <w:top w:val="single" w:color="BFD0D7" w:sz="4"/>
              <w:left w:val="single" w:color="BFD0D7" w:sz="4"/>
              <w:bottom w:val="single" w:color="BFD0D7" w:sz="4"/>
              <w:right w:val="single" w:color="BFD0D7" w:sz="4"/>
            </w:tcBorders>
            <w:shd w:fill="2E5266" w:val="clear"/>
            <w:tcMar>
              <w:top w:type="dxa" w:w="120"/>
              <w:left w:type="dxa" w:w="160"/>
              <w:bottom w:type="dxa" w:w="120"/>
              <w:right w:type="dxa" w:w="160"/>
            </w:tcMar>
          </w:tcPr>
          <w:p>
            <w:pPr>
              <w:spacing w:after="0" w:line="280"/>
            </w:pPr>
            <w:r>
              <w:rPr>
                <w:b/>
                <w:bCs/>
                <w:color w:val="FFFFFF"/>
                <w:sz w:val="20"/>
                <w:szCs w:val="20"/>
              </w:rPr>
              <w:t xml:space="preserve">Month 1–2 (ramp)</w:t>
            </w:r>
          </w:p>
        </w:tc>
        <w:tc>
          <w:tcPr>
            <w:tcW w:type="dxa" w:w="1800"/>
            <w:tcBorders>
              <w:top w:val="single" w:color="BFD0D7" w:sz="4"/>
              <w:left w:val="single" w:color="BFD0D7" w:sz="4"/>
              <w:bottom w:val="single" w:color="BFD0D7" w:sz="4"/>
              <w:right w:val="single" w:color="BFD0D7" w:sz="4"/>
            </w:tcBorders>
            <w:shd w:fill="2E5266" w:val="clear"/>
            <w:tcMar>
              <w:top w:type="dxa" w:w="120"/>
              <w:left w:type="dxa" w:w="160"/>
              <w:bottom w:type="dxa" w:w="120"/>
              <w:right w:type="dxa" w:w="160"/>
            </w:tcMar>
          </w:tcPr>
          <w:p>
            <w:pPr>
              <w:spacing w:after="0" w:line="280"/>
            </w:pPr>
            <w:r>
              <w:rPr>
                <w:b/>
                <w:bCs/>
                <w:color w:val="FFFFFF"/>
                <w:sz w:val="20"/>
                <w:szCs w:val="20"/>
              </w:rPr>
              <w:t xml:space="preserve">Month 3–6 (steady)</w:t>
            </w:r>
          </w:p>
        </w:tc>
        <w:tc>
          <w:tcPr>
            <w:tcW w:type="dxa" w:w="1800"/>
            <w:tcBorders>
              <w:top w:val="single" w:color="BFD0D7" w:sz="4"/>
              <w:left w:val="single" w:color="BFD0D7" w:sz="4"/>
              <w:bottom w:val="single" w:color="BFD0D7" w:sz="4"/>
              <w:right w:val="single" w:color="BFD0D7" w:sz="4"/>
            </w:tcBorders>
            <w:shd w:fill="2E5266" w:val="clear"/>
            <w:tcMar>
              <w:top w:type="dxa" w:w="120"/>
              <w:left w:type="dxa" w:w="160"/>
              <w:bottom w:type="dxa" w:w="120"/>
              <w:right w:type="dxa" w:w="160"/>
            </w:tcMar>
          </w:tcPr>
          <w:p>
            <w:pPr>
              <w:spacing w:after="0" w:line="280"/>
            </w:pPr>
            <w:r>
              <w:rPr>
                <w:b/>
                <w:bCs/>
                <w:color w:val="FFFFFF"/>
                <w:sz w:val="20"/>
                <w:szCs w:val="20"/>
              </w:rPr>
              <w:t xml:space="preserve">Month 6+ (full)</w:t>
            </w:r>
          </w:p>
        </w:tc>
      </w:tr>
      <w:tr>
        <w:tc>
          <w:tcPr>
            <w:tcW w:type="dxa" w:w="396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b w:val="false"/>
                <w:bCs w:val="false"/>
                <w:color w:val="1F2A2E"/>
                <w:sz w:val="20"/>
                <w:szCs w:val="20"/>
              </w:rPr>
              <w:t xml:space="preserve">Sessions per week</w:t>
            </w:r>
          </w:p>
        </w:tc>
        <w:tc>
          <w:tcPr>
            <w:tcW w:type="dxa" w:w="18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b w:val="false"/>
                <w:bCs w:val="false"/>
                <w:color w:val="1F2A2E"/>
                <w:sz w:val="20"/>
                <w:szCs w:val="20"/>
              </w:rPr>
              <w:t xml:space="preserve">6</w:t>
            </w:r>
          </w:p>
        </w:tc>
        <w:tc>
          <w:tcPr>
            <w:tcW w:type="dxa" w:w="18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b w:val="false"/>
                <w:bCs w:val="false"/>
                <w:color w:val="1F2A2E"/>
                <w:sz w:val="20"/>
                <w:szCs w:val="20"/>
              </w:rPr>
              <w:t xml:space="preserve">14</w:t>
            </w:r>
          </w:p>
        </w:tc>
        <w:tc>
          <w:tcPr>
            <w:tcW w:type="dxa" w:w="18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b w:val="false"/>
                <w:bCs w:val="false"/>
                <w:color w:val="2E5266"/>
                <w:sz w:val="20"/>
                <w:szCs w:val="20"/>
              </w:rPr>
              <w:t xml:space="preserve">20</w:t>
            </w:r>
          </w:p>
        </w:tc>
      </w:tr>
      <w:tr>
        <w:tc>
          <w:tcPr>
            <w:tcW w:type="dxa" w:w="396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b w:val="false"/>
                <w:bCs w:val="false"/>
                <w:color w:val="1F2A2E"/>
                <w:sz w:val="20"/>
                <w:szCs w:val="20"/>
              </w:rPr>
              <w:t xml:space="preserve">Sessions per month (~4.3 weeks)</w:t>
            </w:r>
          </w:p>
        </w:tc>
        <w:tc>
          <w:tcPr>
            <w:tcW w:type="dxa" w:w="18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b w:val="false"/>
                <w:bCs w:val="false"/>
                <w:color w:val="1F2A2E"/>
                <w:sz w:val="20"/>
                <w:szCs w:val="20"/>
              </w:rPr>
              <w:t xml:space="preserve">26</w:t>
            </w:r>
          </w:p>
        </w:tc>
        <w:tc>
          <w:tcPr>
            <w:tcW w:type="dxa" w:w="18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b w:val="false"/>
                <w:bCs w:val="false"/>
                <w:color w:val="1F2A2E"/>
                <w:sz w:val="20"/>
                <w:szCs w:val="20"/>
              </w:rPr>
              <w:t xml:space="preserve">60</w:t>
            </w:r>
          </w:p>
        </w:tc>
        <w:tc>
          <w:tcPr>
            <w:tcW w:type="dxa" w:w="18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b w:val="false"/>
                <w:bCs w:val="false"/>
                <w:color w:val="2E5266"/>
                <w:sz w:val="20"/>
                <w:szCs w:val="20"/>
              </w:rPr>
              <w:t xml:space="preserve">86</w:t>
            </w:r>
          </w:p>
        </w:tc>
      </w:tr>
      <w:tr>
        <w:tc>
          <w:tcPr>
            <w:tcW w:type="dxa" w:w="396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b w:val="false"/>
                <w:bCs w:val="false"/>
                <w:color w:val="1F2A2E"/>
                <w:sz w:val="20"/>
                <w:szCs w:val="20"/>
              </w:rPr>
              <w:t xml:space="preserve">Avg fee per session</w:t>
            </w:r>
          </w:p>
        </w:tc>
        <w:tc>
          <w:tcPr>
            <w:tcW w:type="dxa" w:w="18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b w:val="false"/>
                <w:bCs w:val="false"/>
                <w:color w:val="1F2A2E"/>
                <w:sz w:val="20"/>
                <w:szCs w:val="20"/>
              </w:rPr>
              <w:t xml:space="preserve">₹1,500</w:t>
            </w:r>
          </w:p>
        </w:tc>
        <w:tc>
          <w:tcPr>
            <w:tcW w:type="dxa" w:w="18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b w:val="false"/>
                <w:bCs w:val="false"/>
                <w:color w:val="1F2A2E"/>
                <w:sz w:val="20"/>
                <w:szCs w:val="20"/>
              </w:rPr>
              <w:t xml:space="preserve">₹1,500</w:t>
            </w:r>
          </w:p>
        </w:tc>
        <w:tc>
          <w:tcPr>
            <w:tcW w:type="dxa" w:w="18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b w:val="false"/>
                <w:bCs w:val="false"/>
                <w:color w:val="2E5266"/>
                <w:sz w:val="20"/>
                <w:szCs w:val="20"/>
              </w:rPr>
              <w:t xml:space="preserve">₹2,000</w:t>
            </w:r>
          </w:p>
        </w:tc>
      </w:tr>
      <w:tr>
        <w:tc>
          <w:tcPr>
            <w:tcW w:type="dxa" w:w="396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b w:val="false"/>
                <w:bCs w:val="false"/>
                <w:color w:val="1F2A2E"/>
                <w:sz w:val="20"/>
                <w:szCs w:val="20"/>
              </w:rPr>
              <w:t xml:space="preserve">Gross monthly revenue</w:t>
            </w:r>
          </w:p>
        </w:tc>
        <w:tc>
          <w:tcPr>
            <w:tcW w:type="dxa" w:w="18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b w:val="false"/>
                <w:bCs w:val="false"/>
                <w:color w:val="1F2A2E"/>
                <w:sz w:val="20"/>
                <w:szCs w:val="20"/>
              </w:rPr>
              <w:t xml:space="preserve">₹39,000</w:t>
            </w:r>
          </w:p>
        </w:tc>
        <w:tc>
          <w:tcPr>
            <w:tcW w:type="dxa" w:w="18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b w:val="false"/>
                <w:bCs w:val="false"/>
                <w:color w:val="1F2A2E"/>
                <w:sz w:val="20"/>
                <w:szCs w:val="20"/>
              </w:rPr>
              <w:t xml:space="preserve">₹90,000</w:t>
            </w:r>
          </w:p>
        </w:tc>
        <w:tc>
          <w:tcPr>
            <w:tcW w:type="dxa" w:w="18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b w:val="false"/>
                <w:bCs w:val="false"/>
                <w:color w:val="2E5266"/>
                <w:sz w:val="20"/>
                <w:szCs w:val="20"/>
              </w:rPr>
              <w:t xml:space="preserve">₹1,72,000</w:t>
            </w:r>
          </w:p>
        </w:tc>
      </w:tr>
      <w:tr>
        <w:tc>
          <w:tcPr>
            <w:tcW w:type="dxa" w:w="396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b w:val="false"/>
                <w:bCs w:val="false"/>
                <w:color w:val="1F2A2E"/>
                <w:sz w:val="20"/>
                <w:szCs w:val="20"/>
              </w:rPr>
              <w:t xml:space="preserve">Mittiva retainer</w:t>
            </w:r>
          </w:p>
        </w:tc>
        <w:tc>
          <w:tcPr>
            <w:tcW w:type="dxa" w:w="18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b w:val="false"/>
                <w:bCs w:val="false"/>
                <w:color w:val="1F2A2E"/>
                <w:sz w:val="20"/>
                <w:szCs w:val="20"/>
              </w:rPr>
              <w:t xml:space="preserve">₹12,000</w:t>
            </w:r>
          </w:p>
        </w:tc>
        <w:tc>
          <w:tcPr>
            <w:tcW w:type="dxa" w:w="18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b w:val="false"/>
                <w:bCs w:val="false"/>
                <w:color w:val="1F2A2E"/>
                <w:sz w:val="20"/>
                <w:szCs w:val="20"/>
              </w:rPr>
              <w:t xml:space="preserve">₹12,000</w:t>
            </w:r>
          </w:p>
        </w:tc>
        <w:tc>
          <w:tcPr>
            <w:tcW w:type="dxa" w:w="18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b w:val="false"/>
                <w:bCs w:val="false"/>
                <w:color w:val="2E5266"/>
                <w:sz w:val="20"/>
                <w:szCs w:val="20"/>
              </w:rPr>
              <w:t xml:space="preserve">₹12,000</w:t>
            </w:r>
          </w:p>
        </w:tc>
      </w:tr>
      <w:tr>
        <w:tc>
          <w:tcPr>
            <w:tcW w:type="dxa" w:w="396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b w:val="false"/>
                <w:bCs w:val="false"/>
                <w:color w:val="1F2A2E"/>
                <w:sz w:val="20"/>
                <w:szCs w:val="20"/>
              </w:rPr>
              <w:t xml:space="preserve">Tech &amp; payment fees (~3%)</w:t>
            </w:r>
          </w:p>
        </w:tc>
        <w:tc>
          <w:tcPr>
            <w:tcW w:type="dxa" w:w="18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b w:val="false"/>
                <w:bCs w:val="false"/>
                <w:color w:val="1F2A2E"/>
                <w:sz w:val="20"/>
                <w:szCs w:val="20"/>
              </w:rPr>
              <w:t xml:space="preserve">₹1,200</w:t>
            </w:r>
          </w:p>
        </w:tc>
        <w:tc>
          <w:tcPr>
            <w:tcW w:type="dxa" w:w="18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b w:val="false"/>
                <w:bCs w:val="false"/>
                <w:color w:val="1F2A2E"/>
                <w:sz w:val="20"/>
                <w:szCs w:val="20"/>
              </w:rPr>
              <w:t xml:space="preserve">₹2,700</w:t>
            </w:r>
          </w:p>
        </w:tc>
        <w:tc>
          <w:tcPr>
            <w:tcW w:type="dxa" w:w="18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b w:val="false"/>
                <w:bCs w:val="false"/>
                <w:color w:val="2E5266"/>
                <w:sz w:val="20"/>
                <w:szCs w:val="20"/>
              </w:rPr>
              <w:t xml:space="preserve">₹5,200</w:t>
            </w:r>
          </w:p>
        </w:tc>
      </w:tr>
      <w:tr>
        <w:tc>
          <w:tcPr>
            <w:tcW w:type="dxa" w:w="396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b w:val="false"/>
                <w:bCs w:val="false"/>
                <w:color w:val="1F2A2E"/>
                <w:sz w:val="20"/>
                <w:szCs w:val="20"/>
              </w:rPr>
              <w:t xml:space="preserve">Growth share (10% on ~30% acquired via Mittiva)</w:t>
            </w:r>
          </w:p>
        </w:tc>
        <w:tc>
          <w:tcPr>
            <w:tcW w:type="dxa" w:w="18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b w:val="false"/>
                <w:bCs w:val="false"/>
                <w:color w:val="1F2A2E"/>
                <w:sz w:val="20"/>
                <w:szCs w:val="20"/>
              </w:rPr>
              <w:t xml:space="preserve">₹1,200</w:t>
            </w:r>
          </w:p>
        </w:tc>
        <w:tc>
          <w:tcPr>
            <w:tcW w:type="dxa" w:w="18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b w:val="false"/>
                <w:bCs w:val="false"/>
                <w:color w:val="1F2A2E"/>
                <w:sz w:val="20"/>
                <w:szCs w:val="20"/>
              </w:rPr>
              <w:t xml:space="preserve">₹2,700</w:t>
            </w:r>
          </w:p>
        </w:tc>
        <w:tc>
          <w:tcPr>
            <w:tcW w:type="dxa" w:w="180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b w:val="false"/>
                <w:bCs w:val="false"/>
                <w:color w:val="2E5266"/>
                <w:sz w:val="20"/>
                <w:szCs w:val="20"/>
              </w:rPr>
              <w:t xml:space="preserve">₹5,200</w:t>
            </w:r>
          </w:p>
        </w:tc>
      </w:tr>
      <w:tr>
        <w:tc>
          <w:tcPr>
            <w:tcW w:type="dxa" w:w="3960"/>
            <w:tcBorders>
              <w:top w:val="single" w:color="BFD0D7" w:sz="4"/>
              <w:left w:val="single" w:color="BFD0D7" w:sz="4"/>
              <w:bottom w:val="single" w:color="BFD0D7" w:sz="4"/>
              <w:right w:val="single" w:color="BFD0D7" w:sz="4"/>
            </w:tcBorders>
            <w:shd w:fill="E5EEF2" w:val="clear"/>
            <w:tcMar>
              <w:top w:type="dxa" w:w="120"/>
              <w:left w:type="dxa" w:w="160"/>
              <w:bottom w:type="dxa" w:w="120"/>
              <w:right w:type="dxa" w:w="160"/>
            </w:tcMar>
          </w:tcPr>
          <w:p>
            <w:pPr>
              <w:spacing w:after="0" w:line="280"/>
            </w:pPr>
            <w:r>
              <w:rPr>
                <w:b/>
                <w:bCs/>
                <w:color w:val="1F2A2E"/>
                <w:sz w:val="20"/>
                <w:szCs w:val="20"/>
              </w:rPr>
              <w:t xml:space="preserve">Your net take-home</w:t>
            </w:r>
          </w:p>
        </w:tc>
        <w:tc>
          <w:tcPr>
            <w:tcW w:type="dxa" w:w="1800"/>
            <w:tcBorders>
              <w:top w:val="single" w:color="BFD0D7" w:sz="4"/>
              <w:left w:val="single" w:color="BFD0D7" w:sz="4"/>
              <w:bottom w:val="single" w:color="BFD0D7" w:sz="4"/>
              <w:right w:val="single" w:color="BFD0D7" w:sz="4"/>
            </w:tcBorders>
            <w:shd w:fill="E5EEF2" w:val="clear"/>
            <w:tcMar>
              <w:top w:type="dxa" w:w="120"/>
              <w:left w:type="dxa" w:w="160"/>
              <w:bottom w:type="dxa" w:w="120"/>
              <w:right w:type="dxa" w:w="160"/>
            </w:tcMar>
          </w:tcPr>
          <w:p>
            <w:pPr>
              <w:spacing w:after="0" w:line="280"/>
            </w:pPr>
            <w:r>
              <w:rPr>
                <w:b/>
                <w:bCs/>
                <w:color w:val="1F2A2E"/>
                <w:sz w:val="20"/>
                <w:szCs w:val="20"/>
              </w:rPr>
              <w:t xml:space="preserve">₹24,600</w:t>
            </w:r>
          </w:p>
        </w:tc>
        <w:tc>
          <w:tcPr>
            <w:tcW w:type="dxa" w:w="1800"/>
            <w:tcBorders>
              <w:top w:val="single" w:color="BFD0D7" w:sz="4"/>
              <w:left w:val="single" w:color="BFD0D7" w:sz="4"/>
              <w:bottom w:val="single" w:color="BFD0D7" w:sz="4"/>
              <w:right w:val="single" w:color="BFD0D7" w:sz="4"/>
            </w:tcBorders>
            <w:shd w:fill="E5EEF2" w:val="clear"/>
            <w:tcMar>
              <w:top w:type="dxa" w:w="120"/>
              <w:left w:type="dxa" w:w="160"/>
              <w:bottom w:type="dxa" w:w="120"/>
              <w:right w:type="dxa" w:w="160"/>
            </w:tcMar>
          </w:tcPr>
          <w:p>
            <w:pPr>
              <w:spacing w:after="0" w:line="280"/>
            </w:pPr>
            <w:r>
              <w:rPr>
                <w:b/>
                <w:bCs/>
                <w:color w:val="1F2A2E"/>
                <w:sz w:val="20"/>
                <w:szCs w:val="20"/>
              </w:rPr>
              <w:t xml:space="preserve">₹72,600</w:t>
            </w:r>
          </w:p>
        </w:tc>
        <w:tc>
          <w:tcPr>
            <w:tcW w:type="dxa" w:w="1800"/>
            <w:tcBorders>
              <w:top w:val="single" w:color="BFD0D7" w:sz="4"/>
              <w:left w:val="single" w:color="BFD0D7" w:sz="4"/>
              <w:bottom w:val="single" w:color="BFD0D7" w:sz="4"/>
              <w:right w:val="single" w:color="BFD0D7" w:sz="4"/>
            </w:tcBorders>
            <w:shd w:fill="E5EEF2" w:val="clear"/>
            <w:tcMar>
              <w:top w:type="dxa" w:w="120"/>
              <w:left w:type="dxa" w:w="160"/>
              <w:bottom w:type="dxa" w:w="120"/>
              <w:right w:type="dxa" w:w="160"/>
            </w:tcMar>
          </w:tcPr>
          <w:p>
            <w:pPr>
              <w:spacing w:after="0" w:line="280"/>
            </w:pPr>
            <w:r>
              <w:rPr>
                <w:b/>
                <w:bCs/>
                <w:color w:val="2E5266"/>
                <w:sz w:val="20"/>
                <w:szCs w:val="20"/>
              </w:rPr>
              <w:t xml:space="preserve">₹1,49,600</w:t>
            </w:r>
          </w:p>
        </w:tc>
      </w:tr>
    </w:tbl>
    <w:p>
      <w:pPr>
        <w:spacing w:after="160"/>
      </w:pPr>
      <w:r>
        <w:t xml:space="preserve"/>
      </w:r>
    </w:p>
    <w:p>
      <w:pPr>
        <w:spacing w:after="120" w:before="0" w:line="300"/>
        <w:jc w:val="left"/>
      </w:pPr>
      <w:r>
        <w:rPr>
          <w:b/>
          <w:bCs/>
          <w:color w:val="1F2A2E"/>
          <w:sz w:val="22"/>
          <w:szCs w:val="22"/>
        </w:rPr>
        <w:t xml:space="preserve">A few notes on these numbers, because we want them to be honest:</w:t>
      </w:r>
    </w:p>
    <w:p>
      <w:pPr>
        <w:pStyle w:val="ListParagraph"/>
        <w:numPr>
          <w:ilvl w:val="0"/>
          <w:numId w:val="2"/>
        </w:numPr>
        <w:spacing w:after="80" w:line="290"/>
      </w:pPr>
      <w:r>
        <w:rPr>
          <w:sz w:val="22"/>
          <w:szCs w:val="22"/>
        </w:rPr>
        <w:t xml:space="preserve">The “Month 1–2” line assumes you do not yet hit your 4-patients-per-week target while the doctor network is being re-warmed. We have intentionally undersized this so you can see the worst case.</w:t>
      </w:r>
    </w:p>
    <w:p>
      <w:pPr>
        <w:pStyle w:val="ListParagraph"/>
        <w:numPr>
          <w:ilvl w:val="0"/>
          <w:numId w:val="2"/>
        </w:numPr>
        <w:spacing w:after="80" w:line="290"/>
      </w:pPr>
      <w:r>
        <w:rPr>
          <w:sz w:val="22"/>
          <w:szCs w:val="22"/>
        </w:rPr>
        <w:t xml:space="preserve">By Month 3 you should be at the volume you described. By Month 6, if you choose to take more patients and lift your fee, the practice becomes meaningfully lucrative.</w:t>
      </w:r>
    </w:p>
    <w:p>
      <w:pPr>
        <w:pStyle w:val="ListParagraph"/>
        <w:numPr>
          <w:ilvl w:val="0"/>
          <w:numId w:val="2"/>
        </w:numPr>
        <w:spacing w:after="80" w:line="290"/>
      </w:pPr>
      <w:r>
        <w:rPr>
          <w:sz w:val="22"/>
          <w:szCs w:val="22"/>
        </w:rPr>
        <w:t xml:space="preserve">We have not added a fee increase in the early months because we believe the first months should establish trust and rhythm, not test pricing.</w:t>
      </w:r>
    </w:p>
    <w:p>
      <w:pPr>
        <w:pStyle w:val="ListParagraph"/>
        <w:numPr>
          <w:ilvl w:val="0"/>
          <w:numId w:val="2"/>
        </w:numPr>
        <w:spacing w:after="80" w:line="290"/>
      </w:pPr>
      <w:r>
        <w:rPr>
          <w:sz w:val="22"/>
          <w:szCs w:val="22"/>
        </w:rPr>
        <w:t xml:space="preserve">If at any point the retainer doesn’t feel like a clear net positive — month over month — we will adjust it. We don’t want you carrying a fixed cost that isn’t earning its keep.</w:t>
      </w:r>
    </w:p>
    <w:p>
      <w:pPr>
        <w:spacing w:after="160"/>
      </w:pPr>
      <w:r>
        <w:t xml:space="preserve"/>
      </w:r>
    </w:p>
    <w:p>
      <w:pPr>
        <w:pBdr>
          <w:bottom w:val="single" w:color="2E5266" w:sz="6" w:space="1"/>
        </w:pBdr>
        <w:spacing w:after="160" w:before="80"/>
      </w:pPr>
      <w:r>
        <w:t xml:space="preserve"/>
      </w:r>
    </w:p>
    <w:p>
      <w:pPr>
        <w:pStyle w:val="Heading1"/>
        <w:spacing w:after="180" w:before="360"/>
      </w:pPr>
      <w:r>
        <w:rPr>
          <w:rFonts w:ascii="Calibri" w:cs="Calibri" w:eastAsia="Calibri" w:hAnsi="Calibri"/>
          <w:b/>
          <w:bCs/>
          <w:color w:val="2E5266"/>
          <w:sz w:val="32"/>
          <w:szCs w:val="32"/>
        </w:rPr>
        <w:t xml:space="preserve">The first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D0D7" w:sz="4"/>
              <w:left w:val="single" w:color="BFD0D7" w:sz="4"/>
              <w:bottom w:val="single" w:color="BFD0D7" w:sz="4"/>
              <w:right w:val="single" w:color="BFD0D7" w:sz="4"/>
            </w:tcBorders>
            <w:shd w:fill="2E5266" w:val="clear"/>
            <w:tcMar>
              <w:top w:type="dxa" w:w="120"/>
              <w:left w:type="dxa" w:w="160"/>
              <w:bottom w:type="dxa" w:w="120"/>
              <w:right w:type="dxa" w:w="160"/>
            </w:tcMar>
          </w:tcPr>
          <w:p>
            <w:pPr>
              <w:spacing w:after="0" w:line="280"/>
            </w:pPr>
            <w:r>
              <w:rPr>
                <w:b/>
                <w:bCs/>
                <w:color w:val="FFFFFF"/>
                <w:sz w:val="20"/>
                <w:szCs w:val="20"/>
              </w:rPr>
              <w:t xml:space="preserve">Weeks</w:t>
            </w:r>
          </w:p>
        </w:tc>
        <w:tc>
          <w:tcPr>
            <w:tcW w:type="dxa" w:w="7560"/>
            <w:tcBorders>
              <w:top w:val="single" w:color="BFD0D7" w:sz="4"/>
              <w:left w:val="single" w:color="BFD0D7" w:sz="4"/>
              <w:bottom w:val="single" w:color="BFD0D7" w:sz="4"/>
              <w:right w:val="single" w:color="BFD0D7" w:sz="4"/>
            </w:tcBorders>
            <w:shd w:fill="2E5266" w:val="clear"/>
            <w:tcMar>
              <w:top w:type="dxa" w:w="120"/>
              <w:left w:type="dxa" w:w="160"/>
              <w:bottom w:type="dxa" w:w="120"/>
              <w:right w:type="dxa" w:w="160"/>
            </w:tcMar>
          </w:tcPr>
          <w:p>
            <w:pPr>
              <w:spacing w:after="0" w:line="280"/>
            </w:pPr>
            <w:r>
              <w:rPr>
                <w:b/>
                <w:bCs/>
                <w:color w:val="FFFFFF"/>
                <w:sz w:val="20"/>
                <w:szCs w:val="20"/>
              </w:rPr>
              <w:t xml:space="preserve">Focus</w:t>
            </w:r>
          </w:p>
        </w:tc>
      </w:tr>
      <w:tr>
        <w:tc>
          <w:tcPr>
            <w:tcW w:type="dxa" w:w="1800"/>
            <w:tcBorders>
              <w:top w:val="single" w:color="BFD0D7" w:sz="4"/>
              <w:left w:val="single" w:color="BFD0D7" w:sz="4"/>
              <w:bottom w:val="single" w:color="BFD0D7" w:sz="4"/>
              <w:right w:val="single" w:color="BFD0D7" w:sz="4"/>
            </w:tcBorders>
            <w:shd w:fill="E5EEF2" w:val="clear"/>
            <w:tcMar>
              <w:top w:type="dxa" w:w="120"/>
              <w:left w:type="dxa" w:w="160"/>
              <w:bottom w:type="dxa" w:w="120"/>
              <w:right w:type="dxa" w:w="160"/>
            </w:tcMar>
          </w:tcPr>
          <w:p>
            <w:pPr>
              <w:spacing w:after="0" w:line="280"/>
            </w:pPr>
            <w:r>
              <w:rPr>
                <w:b/>
                <w:bCs/>
                <w:color w:val="2E5266"/>
                <w:sz w:val="20"/>
                <w:szCs w:val="20"/>
              </w:rPr>
              <w:t xml:space="preserve">1–2</w:t>
            </w:r>
          </w:p>
        </w:tc>
        <w:tc>
          <w:tcPr>
            <w:tcW w:type="dxa" w:w="756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Foundation: WhatsApp Business, Cal.com, Razorpay, intake form, Google Business Profile submitted, internal CRM. You begin reviewing intake script and templates.</w:t>
            </w:r>
          </w:p>
        </w:tc>
      </w:tr>
      <w:tr>
        <w:tc>
          <w:tcPr>
            <w:tcW w:type="dxa" w:w="1800"/>
            <w:tcBorders>
              <w:top w:val="single" w:color="BFD0D7" w:sz="4"/>
              <w:left w:val="single" w:color="BFD0D7" w:sz="4"/>
              <w:bottom w:val="single" w:color="BFD0D7" w:sz="4"/>
              <w:right w:val="single" w:color="BFD0D7" w:sz="4"/>
            </w:tcBorders>
            <w:shd w:fill="E5EEF2" w:val="clear"/>
            <w:tcMar>
              <w:top w:type="dxa" w:w="120"/>
              <w:left w:type="dxa" w:w="160"/>
              <w:bottom w:type="dxa" w:w="120"/>
              <w:right w:type="dxa" w:w="160"/>
            </w:tcMar>
          </w:tcPr>
          <w:p>
            <w:pPr>
              <w:spacing w:after="0" w:line="280"/>
            </w:pPr>
            <w:r>
              <w:rPr>
                <w:b/>
                <w:bCs/>
                <w:color w:val="2E5266"/>
                <w:sz w:val="20"/>
                <w:szCs w:val="20"/>
              </w:rPr>
              <w:t xml:space="preserve">3–4</w:t>
            </w:r>
          </w:p>
        </w:tc>
        <w:tc>
          <w:tcPr>
            <w:tcW w:type="dxa" w:w="756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Visibility: Practo, Lybrate, Justdial Health listings live. Referral card sent to your top 15 doctor contacts. Hospital re-engagement letter sent to 5 institutions. Google Business Profile verified.</w:t>
            </w:r>
          </w:p>
        </w:tc>
      </w:tr>
      <w:tr>
        <w:tc>
          <w:tcPr>
            <w:tcW w:type="dxa" w:w="1800"/>
            <w:tcBorders>
              <w:top w:val="single" w:color="BFD0D7" w:sz="4"/>
              <w:left w:val="single" w:color="BFD0D7" w:sz="4"/>
              <w:bottom w:val="single" w:color="BFD0D7" w:sz="4"/>
              <w:right w:val="single" w:color="BFD0D7" w:sz="4"/>
            </w:tcBorders>
            <w:shd w:fill="E5EEF2" w:val="clear"/>
            <w:tcMar>
              <w:top w:type="dxa" w:w="120"/>
              <w:left w:type="dxa" w:w="160"/>
              <w:bottom w:type="dxa" w:w="120"/>
              <w:right w:type="dxa" w:w="160"/>
            </w:tcMar>
          </w:tcPr>
          <w:p>
            <w:pPr>
              <w:spacing w:after="0" w:line="280"/>
            </w:pPr>
            <w:r>
              <w:rPr>
                <w:b/>
                <w:bCs/>
                <w:color w:val="2E5266"/>
                <w:sz w:val="20"/>
                <w:szCs w:val="20"/>
              </w:rPr>
              <w:t xml:space="preserve">5–8</w:t>
            </w:r>
          </w:p>
        </w:tc>
        <w:tc>
          <w:tcPr>
            <w:tcW w:type="dxa" w:w="756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Flow: First patients booked. Mittiva runs the entire intake-to-payment-to-reminder loop. You hold sessions. We refine templates after each round of feedback. First monthly report delivered.</w:t>
            </w:r>
          </w:p>
        </w:tc>
      </w:tr>
      <w:tr>
        <w:tc>
          <w:tcPr>
            <w:tcW w:type="dxa" w:w="1800"/>
            <w:tcBorders>
              <w:top w:val="single" w:color="BFD0D7" w:sz="4"/>
              <w:left w:val="single" w:color="BFD0D7" w:sz="4"/>
              <w:bottom w:val="single" w:color="BFD0D7" w:sz="4"/>
              <w:right w:val="single" w:color="BFD0D7" w:sz="4"/>
            </w:tcBorders>
            <w:shd w:fill="E5EEF2" w:val="clear"/>
            <w:tcMar>
              <w:top w:type="dxa" w:w="120"/>
              <w:left w:type="dxa" w:w="160"/>
              <w:bottom w:type="dxa" w:w="120"/>
              <w:right w:type="dxa" w:w="160"/>
            </w:tcMar>
          </w:tcPr>
          <w:p>
            <w:pPr>
              <w:spacing w:after="0" w:line="280"/>
            </w:pPr>
            <w:r>
              <w:rPr>
                <w:b/>
                <w:bCs/>
                <w:color w:val="2E5266"/>
                <w:sz w:val="20"/>
                <w:szCs w:val="20"/>
              </w:rPr>
              <w:t xml:space="preserve">9–12</w:t>
            </w:r>
          </w:p>
        </w:tc>
        <w:tc>
          <w:tcPr>
            <w:tcW w:type="dxa" w:w="7560"/>
            <w:tcBorders>
              <w:top w:val="single" w:color="BFD0D7" w:sz="4"/>
              <w:left w:val="single" w:color="BFD0D7" w:sz="4"/>
              <w:bottom w:val="single" w:color="BFD0D7" w:sz="4"/>
              <w:right w:val="single" w:color="BFD0D7" w:sz="4"/>
            </w:tcBorders>
            <w:tcMar>
              <w:top w:type="dxa" w:w="120"/>
              <w:left w:type="dxa" w:w="160"/>
              <w:bottom w:type="dxa" w:w="120"/>
              <w:right w:type="dxa" w:w="160"/>
            </w:tcMar>
          </w:tcPr>
          <w:p>
            <w:pPr>
              <w:spacing w:after="0" w:line="280"/>
            </w:pPr>
            <w:r>
              <w:rPr>
                <w:color w:val="1F2A2E"/>
                <w:sz w:val="20"/>
                <w:szCs w:val="20"/>
              </w:rPr>
              <w:t xml:space="preserve">Steady state: Doctor network broadened, follow-up cycles begin. We benchmark which channels are converting and double down on those. End-of-quarter review with you on volume, fee, and any preference changes.</w:t>
            </w:r>
          </w:p>
        </w:tc>
      </w:tr>
    </w:tbl>
    <w:p>
      <w:pPr>
        <w:spacing w:after="200"/>
      </w:pPr>
      <w:r>
        <w:t xml:space="preserve"/>
      </w:r>
    </w:p>
    <w:p>
      <w:pPr>
        <w:pBdr>
          <w:bottom w:val="single" w:color="2E5266" w:sz="6" w:space="1"/>
        </w:pBdr>
        <w:spacing w:after="160" w:before="80"/>
      </w:pPr>
      <w:r>
        <w:t xml:space="preserve"/>
      </w:r>
    </w:p>
    <w:p>
      <w:pPr>
        <w:pStyle w:val="Heading1"/>
        <w:spacing w:after="180" w:before="360"/>
      </w:pPr>
      <w:r>
        <w:rPr>
          <w:rFonts w:ascii="Calibri" w:cs="Calibri" w:eastAsia="Calibri" w:hAnsi="Calibri"/>
          <w:b/>
          <w:bCs/>
          <w:color w:val="2E5266"/>
          <w:sz w:val="32"/>
          <w:szCs w:val="32"/>
        </w:rPr>
        <w:t xml:space="preserve">What we need from you</w:t>
      </w:r>
    </w:p>
    <w:p>
      <w:pPr>
        <w:spacing w:after="120" w:before="0" w:line="300"/>
        <w:jc w:val="left"/>
      </w:pPr>
      <w:r>
        <w:rPr>
          <w:color w:val="1F2A2E"/>
          <w:sz w:val="22"/>
          <w:szCs w:val="22"/>
        </w:rPr>
        <w:t xml:space="preserve">Almost nothing operational — but a few small inputs that only you can provide:</w:t>
      </w:r>
    </w:p>
    <w:p>
      <w:pPr>
        <w:pStyle w:val="ListParagraph"/>
        <w:numPr>
          <w:ilvl w:val="0"/>
          <w:numId w:val="2"/>
        </w:numPr>
        <w:spacing w:after="80" w:line="290"/>
      </w:pPr>
      <w:r>
        <w:rPr>
          <w:sz w:val="22"/>
          <w:szCs w:val="22"/>
        </w:rPr>
        <w:t xml:space="preserve">A list of the 15–25 doctors and hospital contacts you most trust, with phone numbers. We draft the message, you approve, you send (or we send on your behalf — your call).</w:t>
      </w:r>
    </w:p>
    <w:p>
      <w:pPr>
        <w:pStyle w:val="ListParagraph"/>
        <w:numPr>
          <w:ilvl w:val="0"/>
          <w:numId w:val="2"/>
        </w:numPr>
        <w:spacing w:after="80" w:line="290"/>
      </w:pPr>
      <w:r>
        <w:rPr>
          <w:sz w:val="22"/>
          <w:szCs w:val="22"/>
        </w:rPr>
        <w:t xml:space="preserve">Your preferred working hours and weekly schedule (we’ll convert this into your Cal.com availability).</w:t>
      </w:r>
    </w:p>
    <w:p>
      <w:pPr>
        <w:pStyle w:val="ListParagraph"/>
        <w:numPr>
          <w:ilvl w:val="0"/>
          <w:numId w:val="2"/>
        </w:numPr>
        <w:spacing w:after="80" w:line="290"/>
      </w:pPr>
      <w:r>
        <w:rPr>
          <w:sz w:val="22"/>
          <w:szCs w:val="22"/>
        </w:rPr>
        <w:t xml:space="preserve">Your preferred fee per session — and whether it differs for online vs in-person, follow-ups vs initial.</w:t>
      </w:r>
    </w:p>
    <w:p>
      <w:pPr>
        <w:pStyle w:val="ListParagraph"/>
        <w:numPr>
          <w:ilvl w:val="0"/>
          <w:numId w:val="2"/>
        </w:numPr>
        <w:spacing w:after="80" w:line="290"/>
      </w:pPr>
      <w:r>
        <w:rPr>
          <w:sz w:val="22"/>
          <w:szCs w:val="22"/>
        </w:rPr>
        <w:t xml:space="preserve">Approval on the intake script, referral card, and standard WhatsApp templates before they go live.</w:t>
      </w:r>
    </w:p>
    <w:p>
      <w:pPr>
        <w:pStyle w:val="ListParagraph"/>
        <w:numPr>
          <w:ilvl w:val="0"/>
          <w:numId w:val="2"/>
        </w:numPr>
        <w:spacing w:after="80" w:line="290"/>
      </w:pPr>
      <w:r>
        <w:rPr>
          <w:sz w:val="22"/>
          <w:szCs w:val="22"/>
        </w:rPr>
        <w:t xml:space="preserve">A brief professional photo (headshot or in-clinic) for your Google Business Profile and Practo listing. If you prefer not to share a photo, we will use a clean monogram instead.</w:t>
      </w:r>
    </w:p>
    <w:p>
      <w:pPr>
        <w:spacing w:after="100"/>
      </w:pPr>
      <w:r>
        <w:t xml:space="preserve"/>
      </w:r>
    </w:p>
    <w:p>
      <w:pPr>
        <w:pBdr>
          <w:bottom w:val="single" w:color="2E5266" w:sz="6" w:space="1"/>
        </w:pBdr>
        <w:spacing w:after="160" w:before="80"/>
      </w:pPr>
      <w:r>
        <w:t xml:space="preserve"/>
      </w:r>
    </w:p>
    <w:p>
      <w:pPr>
        <w:pStyle w:val="Heading1"/>
        <w:spacing w:after="180" w:before="360"/>
      </w:pPr>
      <w:r>
        <w:rPr>
          <w:rFonts w:ascii="Calibri" w:cs="Calibri" w:eastAsia="Calibri" w:hAnsi="Calibri"/>
          <w:b/>
          <w:bCs/>
          <w:color w:val="2E5266"/>
          <w:sz w:val="32"/>
          <w:szCs w:val="32"/>
        </w:rPr>
        <w:t xml:space="preserve">How we will work</w:t>
      </w:r>
    </w:p>
    <w:p>
      <w:pPr>
        <w:pStyle w:val="ListParagraph"/>
        <w:numPr>
          <w:ilvl w:val="0"/>
          <w:numId w:val="2"/>
        </w:numPr>
        <w:spacing w:after="80" w:line="290"/>
      </w:pPr>
      <w:r>
        <w:rPr>
          <w:b/>
          <w:bCs/>
          <w:sz w:val="22"/>
          <w:szCs w:val="22"/>
        </w:rPr>
        <w:t xml:space="preserve">No surprises. </w:t>
      </w:r>
      <w:r>
        <w:rPr>
          <w:sz w:val="22"/>
          <w:szCs w:val="22"/>
        </w:rPr>
        <w:t xml:space="preserve">Nothing goes out under your name without you seeing it first, for as long as you want that to be true.</w:t>
      </w:r>
    </w:p>
    <w:p>
      <w:pPr>
        <w:pStyle w:val="ListParagraph"/>
        <w:numPr>
          <w:ilvl w:val="0"/>
          <w:numId w:val="2"/>
        </w:numPr>
        <w:spacing w:after="80" w:line="290"/>
      </w:pPr>
      <w:r>
        <w:rPr>
          <w:b/>
          <w:bCs/>
          <w:sz w:val="22"/>
          <w:szCs w:val="22"/>
        </w:rPr>
        <w:t xml:space="preserve">No lock-in. </w:t>
      </w:r>
      <w:r>
        <w:rPr>
          <w:sz w:val="22"/>
          <w:szCs w:val="22"/>
        </w:rPr>
        <w:t xml:space="preserve">The retainer is month-to-month. You can pause or end at any time and keep every asset we built.</w:t>
      </w:r>
    </w:p>
    <w:p>
      <w:pPr>
        <w:pStyle w:val="ListParagraph"/>
        <w:numPr>
          <w:ilvl w:val="0"/>
          <w:numId w:val="2"/>
        </w:numPr>
        <w:spacing w:after="80" w:line="290"/>
      </w:pPr>
      <w:r>
        <w:rPr>
          <w:b/>
          <w:bCs/>
          <w:sz w:val="22"/>
          <w:szCs w:val="22"/>
        </w:rPr>
        <w:t xml:space="preserve">Your name, your judgement. </w:t>
      </w:r>
      <w:r>
        <w:rPr>
          <w:sz w:val="22"/>
          <w:szCs w:val="22"/>
        </w:rPr>
        <w:t xml:space="preserve">We do not represent ourselves as you, we do not make clinical decisions, and we do not promise outcomes to patients.</w:t>
      </w:r>
    </w:p>
    <w:p>
      <w:pPr>
        <w:pStyle w:val="ListParagraph"/>
        <w:numPr>
          <w:ilvl w:val="0"/>
          <w:numId w:val="2"/>
        </w:numPr>
        <w:spacing w:after="80" w:line="290"/>
      </w:pPr>
      <w:r>
        <w:rPr>
          <w:b/>
          <w:bCs/>
          <w:sz w:val="22"/>
          <w:szCs w:val="22"/>
        </w:rPr>
        <w:t xml:space="preserve">Patient confidentiality is absolute. </w:t>
      </w:r>
      <w:r>
        <w:rPr>
          <w:sz w:val="22"/>
          <w:szCs w:val="22"/>
        </w:rPr>
        <w:t xml:space="preserve">Mittiva sees scheduling and payment information only. Clinical notes are yours and live nowhere we can access.</w:t>
      </w:r>
    </w:p>
    <w:p>
      <w:pPr>
        <w:pStyle w:val="ListParagraph"/>
        <w:numPr>
          <w:ilvl w:val="0"/>
          <w:numId w:val="2"/>
        </w:numPr>
        <w:spacing w:after="80" w:line="290"/>
      </w:pPr>
      <w:r>
        <w:rPr>
          <w:b/>
          <w:bCs/>
          <w:sz w:val="22"/>
          <w:szCs w:val="22"/>
        </w:rPr>
        <w:t xml:space="preserve">Restraint over reach. </w:t>
      </w:r>
      <w:r>
        <w:rPr>
          <w:sz w:val="22"/>
          <w:szCs w:val="22"/>
        </w:rPr>
        <w:t xml:space="preserve">We will not push you to take more patients than feels right, raise prices before you’re ready, or expand into channels you’ve said no to.</w:t>
      </w:r>
    </w:p>
    <w:p>
      <w:pPr>
        <w:spacing w:after="160"/>
      </w:pPr>
      <w:r>
        <w:t xml:space="preserve"/>
      </w:r>
    </w:p>
    <w:p>
      <w:pPr>
        <w:pBdr>
          <w:bottom w:val="single" w:color="2E5266" w:sz="6" w:space="1"/>
        </w:pBdr>
        <w:spacing w:after="160" w:before="80"/>
      </w:pPr>
      <w:r>
        <w:t xml:space="preserve"/>
      </w:r>
    </w:p>
    <w:p>
      <w:pPr>
        <w:pStyle w:val="Heading1"/>
        <w:spacing w:after="180" w:before="360"/>
      </w:pPr>
      <w:r>
        <w:rPr>
          <w:rFonts w:ascii="Calibri" w:cs="Calibri" w:eastAsia="Calibri" w:hAnsi="Calibri"/>
          <w:b/>
          <w:bCs/>
          <w:color w:val="2E5266"/>
          <w:sz w:val="32"/>
          <w:szCs w:val="32"/>
        </w:rPr>
        <w:t xml:space="preserve">Next steps</w:t>
      </w:r>
    </w:p>
    <w:p>
      <w:pPr>
        <w:pStyle w:val="ListParagraph"/>
        <w:numPr>
          <w:ilvl w:val="0"/>
          <w:numId w:val="2"/>
        </w:numPr>
        <w:spacing w:after="80" w:line="290"/>
      </w:pPr>
      <w:r>
        <w:rPr>
          <w:sz w:val="22"/>
          <w:szCs w:val="22"/>
        </w:rPr>
        <w:t xml:space="preserve">Read this proposal at your pace. Mark anything that feels off.</w:t>
      </w:r>
    </w:p>
    <w:p>
      <w:pPr>
        <w:pStyle w:val="ListParagraph"/>
        <w:numPr>
          <w:ilvl w:val="0"/>
          <w:numId w:val="2"/>
        </w:numPr>
        <w:spacing w:after="80" w:line="290"/>
      </w:pPr>
      <w:r>
        <w:rPr>
          <w:sz w:val="22"/>
          <w:szCs w:val="22"/>
        </w:rPr>
        <w:t xml:space="preserve">30-minute follow-up conversation to walk through your edits — we’ll revise the proposal accordingly.</w:t>
      </w:r>
    </w:p>
    <w:p>
      <w:pPr>
        <w:pStyle w:val="ListParagraph"/>
        <w:numPr>
          <w:ilvl w:val="0"/>
          <w:numId w:val="2"/>
        </w:numPr>
        <w:spacing w:after="80" w:line="290"/>
      </w:pPr>
      <w:r>
        <w:rPr>
          <w:sz w:val="22"/>
          <w:szCs w:val="22"/>
        </w:rPr>
        <w:t xml:space="preserve">On approval: 2-week setup window begins, first patients booked by end of week 4.</w:t>
      </w:r>
    </w:p>
    <w:p>
      <w:pPr>
        <w:spacing w:after="160"/>
      </w:pPr>
      <w:r>
        <w:t xml:space="preserve"/>
      </w:r>
    </w:p>
    <w:p>
      <w:pPr>
        <w:spacing w:after="200" w:before="0" w:line="300"/>
        <w:jc w:val="left"/>
      </w:pPr>
      <w:r>
        <w:rPr>
          <w:i/>
          <w:iCs/>
          <w:color w:val="2E5266"/>
          <w:sz w:val="22"/>
          <w:szCs w:val="22"/>
        </w:rPr>
        <w:t xml:space="preserve">Thank you, Vinita. Twenty years of sitting with people at their hardest moments deserves a quieter, kinder operating layer behind it. That is the practice we would like to help you build.</w:t>
      </w:r>
    </w:p>
    <w:p>
      <w:pPr>
        <w:spacing w:after="120" w:before="0" w:line="300"/>
        <w:jc w:val="left"/>
      </w:pPr>
      <w:r>
        <w:rPr>
          <w:color w:val="5C6B73"/>
          <w:sz w:val="22"/>
          <w:szCs w:val="22"/>
        </w:rPr>
        <w:t xml:space="preserve">— Amandeep &amp; the Mittiva team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C6B73"/>
        <w:sz w:val="18"/>
        <w:szCs w:val="18"/>
      </w:rPr>
      <w:t xml:space="preserve">Confidential — for Vinita Basra</w:t>
    </w:r>
    <w:r>
      <w:rPr>
        <w:sz w:val="18"/>
        <w:szCs w:val="18"/>
      </w:rPr>
      <w:t xml:space="preserve">	</w:t>
    </w:r>
    <w:r>
      <w:rPr>
        <w:color w:val="5C6B73"/>
        <w:sz w:val="18"/>
        <w:szCs w:val="18"/>
      </w:rPr>
      <w:t xml:space="preserve">Page </w:t>
    </w:r>
    <w:r>
      <w:rPr>
        <w:color w:val="5C6B73"/>
        <w:sz w:val="18"/>
        <w:szCs w:val="18"/>
      </w:rPr>
      <w:fldChar w:fldCharType="begin"/>
      <w:instrText xml:space="preserve">PAGE</w:instrText>
      <w:fldChar w:fldCharType="separate"/>
      <w:fldChar w:fldCharType="end"/>
    </w:r>
    <w:r>
      <w:rPr>
        <w:color w:val="5C6B73"/>
        <w:sz w:val="18"/>
        <w:szCs w:val="18"/>
      </w:rPr>
      <w:t xml:space="preserve"> of </w:t>
    </w:r>
    <w:r>
      <w:rPr>
        <w:color w:val="5C6B7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D0D7" w:sz="4" w:space="6"/>
      </w:pBdr>
      <w:jc w:val="right"/>
    </w:pPr>
    <w:r>
      <w:rPr>
        <w:i/>
        <w:iCs/>
        <w:color w:val="5C6B73"/>
        <w:sz w:val="18"/>
        <w:szCs w:val="18"/>
      </w:rPr>
      <w:t xml:space="preserve">mittiva  ·  Strategy &amp; Proposal  ·  Vinita Basra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2E5266"/>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266"/>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1F2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Strategy &amp; Proposal — Vinita Basra</dc:title>
  <dc:creator>Mittiva</dc:creator>
  <dc:description>How Mittiva proposes to support Vinita Basra's online counseling practice</dc:description>
  <cp:lastModifiedBy>Un-named</cp:lastModifiedBy>
  <cp:revision>1</cp:revision>
  <dcterms:created xsi:type="dcterms:W3CDTF">2026-05-25T12:49:21.160Z</dcterms:created>
  <dcterms:modified xsi:type="dcterms:W3CDTF">2026-05-25T12:49:21.160Z</dcterms:modified>
</cp:coreProperties>
</file>

<file path=docProps/custom.xml><?xml version="1.0" encoding="utf-8"?>
<Properties xmlns="http://schemas.openxmlformats.org/officeDocument/2006/custom-properties" xmlns:vt="http://schemas.openxmlformats.org/officeDocument/2006/docPropsVTypes"/>
</file>