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6B453" w14:textId="5CA63F4B" w:rsidR="00AF1F67" w:rsidRPr="0021069F" w:rsidRDefault="00000000">
      <w:pPr>
        <w:spacing w:after="200"/>
        <w:jc w:val="center"/>
      </w:pPr>
      <w:r w:rsidRPr="0021069F">
        <w:rPr>
          <w:rFonts w:ascii="Calibri" w:eastAsia="Calibri" w:hAnsi="Calibri" w:cs="Calibri"/>
          <w:b/>
          <w:bCs/>
          <w:sz w:val="28"/>
          <w:szCs w:val="28"/>
        </w:rPr>
        <w:t xml:space="preserve">PROJETO DE PESQUISA </w:t>
      </w:r>
    </w:p>
    <w:p w14:paraId="24D08A7A" w14:textId="77777777" w:rsidR="00AF1F67" w:rsidRPr="0021069F" w:rsidRDefault="00000000">
      <w:pPr>
        <w:spacing w:after="200"/>
        <w:jc w:val="center"/>
      </w:pPr>
      <w:r w:rsidRPr="0021069F">
        <w:rPr>
          <w:rFonts w:ascii="Calibri" w:eastAsia="Calibri" w:hAnsi="Calibri" w:cs="Calibri"/>
          <w:i/>
          <w:iCs/>
          <w:sz w:val="22"/>
          <w:szCs w:val="22"/>
        </w:rPr>
        <w:t>"O uso do jogo educativo Ludo Orgânico na aprendizagem de Química Orgânica"</w:t>
      </w:r>
    </w:p>
    <w:p w14:paraId="4EAF09BF" w14:textId="77777777" w:rsidR="00AF1F67" w:rsidRPr="0021069F" w:rsidRDefault="00AF1F67">
      <w:pPr>
        <w:spacing w:after="100"/>
      </w:pPr>
    </w:p>
    <w:p w14:paraId="2C15C499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Resumo</w:t>
      </w:r>
    </w:p>
    <w:p w14:paraId="5A23DDC0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 xml:space="preserve">Este estudo tem como objetivo avaliar a contribuição do jogo educativo digital "Ludo Orgânico" para a aprendizagem de Química Orgânica e para a percepção de estudantes do Ensino Médio quanto à experiência de aprendizagem gamificada. Trata-se de um estudo quase-experimental, de abordagem quanti-qualitativa, com delineamento de grupo único e aplicação de um teste de conhecimento (14 questões de múltipla escolha) antes e depois do uso do jogo, complementado por uma escala de percepção do tipo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Likert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aplicada exclusivamente após a intervenção. Participarão estudantes regularmente matriculados na disciplina de Química do Instituto Federal de Rondônia (IFRO), mediante assinatura de Termo de Consentimento Livre e Esclarecido (TCLE) pelos responsáveis legais e de Termo de Assentimento Livre e Esclarecido (TALE) pelos próprios estudantes. Os dados serão coletados de forma anônima, identificados apenas por código autogerado, e analisados por estatística descritiva e inferencial. Espera-se gerar evidências sobre a efetividade percebida de jogos educativos no ensino de Química Orgânica.</w:t>
      </w:r>
    </w:p>
    <w:p w14:paraId="2CFEE31F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Introdução</w:t>
      </w:r>
    </w:p>
    <w:p w14:paraId="495BE3F8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 xml:space="preserve">O ensino de Química Orgânica é frequentemente apontado por estudantes da Educação Básica como um dos conteúdos de maior dificuldade de compreensão, em razão da extensa nomenclatura, da diversidade de funções orgânicas e da abstração exigida para relacionar estruturas moleculares a propriedades e reações. Estratégias pedagógicas gamificadas têm sido crescentemente investigadas na literatura de ensino de ciências como recursos capazes de aumentar o engajamento e favorecer a fixação de conteúdos científicos. Nesse contexto, foi desenvolvido o jogo educativo "Ludo Orgânico", uma plataforma digital gamificada que aborda os principais tópicos de Química Orgânica em formato de tabuleiro com perguntas e desafios. Este projeto busca investigar, de forma sistemática, se </w:t>
      </w:r>
      <w:proofErr w:type="gramStart"/>
      <w:r w:rsidRPr="0021069F">
        <w:rPr>
          <w:rFonts w:ascii="Calibri" w:eastAsia="Calibri" w:hAnsi="Calibri" w:cs="Calibri"/>
          <w:sz w:val="22"/>
          <w:szCs w:val="22"/>
        </w:rPr>
        <w:t>e</w:t>
      </w:r>
      <w:proofErr w:type="gramEnd"/>
      <w:r w:rsidRPr="0021069F">
        <w:rPr>
          <w:rFonts w:ascii="Calibri" w:eastAsia="Calibri" w:hAnsi="Calibri" w:cs="Calibri"/>
          <w:sz w:val="22"/>
          <w:szCs w:val="22"/>
        </w:rPr>
        <w:t xml:space="preserve"> como esse recurso contribui para a aprendizagem dos estudantes e qual é a percepção destes quanto à experiência de uso.</w:t>
      </w:r>
    </w:p>
    <w:p w14:paraId="65457469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Hipótese</w:t>
      </w:r>
    </w:p>
    <w:p w14:paraId="348FDFC0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H1: estudantes que utilizam o jogo educativo "Ludo Orgânico" apresentam desempenho médio superior no teste de conhecimento de Química Orgânica aplicado após a intervenção (pós-teste), em comparação ao desempenho apresentado antes da intervenção (pré-teste), pelo mesmo grupo de estudantes.</w:t>
      </w:r>
    </w:p>
    <w:p w14:paraId="0E87890B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H0 (hipótese nula): não há diferença estatisticamente significativa entre o desempenho médio no pré-teste e no pós-teste.</w:t>
      </w:r>
    </w:p>
    <w:p w14:paraId="00A118A2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Objetivo Primário</w:t>
      </w:r>
    </w:p>
    <w:p w14:paraId="3F3AA3B7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Avaliar se há diferença estatisticamente significativa entre o desempenho dos estudantes em um teste de conhecimento de Química Orgânica aplicado antes e depois do uso do jogo educativo "Ludo Orgânico".</w:t>
      </w:r>
    </w:p>
    <w:p w14:paraId="47A78B68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Objetivo Secundário</w:t>
      </w:r>
    </w:p>
    <w:p w14:paraId="019BF79E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Caracterizar a percepção dos estudantes quanto ao engajamento, à motivação, à facilidade de uso e à utilidade percebida do jogo "Ludo Orgânico" para a própria aprendizagem, por meio de uma escala de percepção aplicada após a intervenção.</w:t>
      </w:r>
    </w:p>
    <w:p w14:paraId="57770BEA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Metodologia Proposta</w:t>
      </w:r>
    </w:p>
    <w:p w14:paraId="0D10ED99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lastRenderedPageBreak/>
        <w:t xml:space="preserve">Estudo quase-experimental, de abordagem quanti-qualitativa, com delineamento de grupo único e aplicação de pré-teste e pós-teste. Os estudantes responderão a um teste de conhecimento com 14 questões de múltipla escolha sobre Química Orgânica (cadeias carbônicas, hibridização do carbono, isomeria, haletos/éteres/álcoois, carbonila/aldeídos/cetonas, ácidos carboxílicos e ésteres) antes de jogar o "Ludo Orgânico". Em seguida, os estudantes jogarão em pequenos grupos, sob supervisão do professor/pesquisador, durante uma ou mais aulas. Ao final, o mesmo teste de conhecimento será reaplicado, seguido de uma escala de percepção do tipo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Likert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de 5 pontos com 8 itens (respondida somente no pós-teste). A identificação dos participantes será feita exclusivamente por um código autogerado por cada estudante, sem coleta de nome. Os instrumentos de coleta de dados constam em anexo a este projeto.</w:t>
      </w:r>
    </w:p>
    <w:p w14:paraId="5D77C080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Critério de Inclusão</w:t>
      </w:r>
    </w:p>
    <w:p w14:paraId="5620D7FF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Estar regularmente matriculado(a) na turma e na disciplina de Química indicadas neste projeto; ter o Termo de Consentimento Livre e Esclarecido (TCLE) assinado pelo responsável legal; ter o Termo de Assentimento Livre e Esclarecido (TALE) assinado pelo próprio estudante.</w:t>
      </w:r>
    </w:p>
    <w:p w14:paraId="450B4840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Critério de Exclusão</w:t>
      </w:r>
    </w:p>
    <w:p w14:paraId="5CDF8754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Recusa do estudante em assinar o TALE; ausência de assinatura do TCLE pelo responsável legal; ausência do estudante em uma das duas aplicações do instrumento (pré-teste ou pós-teste), o que impossibilita o pareamento dos dados do mesmo participante.</w:t>
      </w:r>
    </w:p>
    <w:p w14:paraId="065797AE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Riscos</w:t>
      </w:r>
    </w:p>
    <w:p w14:paraId="6962B2D8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Risco mínimo, compatível com o de uma atividade avaliativa escolar de rotina. Não há procedimentos invasivos, coleta de material biológico, indução a estados emocionais negativos ou exposição a conteúdo sensível. Um risco específico a ser mitigado é o constrangimento associado à relação de poder entre o pesquisador (professor da turma) e os participantes (seus próprios alunos); para mitigá-lo, a participação será voluntária, identificada apenas por código (nunca por nome), sem qualquer vínculo com a avaliação formal da disciplina, e os estudantes serão informados, verbalmente e por escrito, de que podem recusar participar ou desistir a qualquer momento, sem qualquer prejuízo pedagógico.</w:t>
      </w:r>
    </w:p>
    <w:p w14:paraId="0A73F0FF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Benefícios</w:t>
      </w:r>
    </w:p>
    <w:p w14:paraId="1CF12907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Não há benefício financeiro direto aos participantes. Como benefício indireto, espera-se contribuir para o aprimoramento das estratégias de ensino de Química Orgânica na instituição proponente e gerar conhecimento científico sobre o uso de jogos educativos no ensino de Química, com potencial benefício para outros estudantes e docentes no futuro.</w:t>
      </w:r>
    </w:p>
    <w:p w14:paraId="6ABFA278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Metodologia de Análise de dados</w:t>
      </w:r>
    </w:p>
    <w:p w14:paraId="54C8C6E2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 xml:space="preserve">Os escores de acerto (0 a 14) no teste de conhecimento serão comparados entre pré-teste e pós-teste por meio de teste t de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Student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pareado, caso a distribuição dos dados seja compatível com a normalidade (verificada pelo teste de Shapiro-Wilk), ou pelo teste de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Wilcoxon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para amostras pareadas, caso contrário. Será calculado o tamanho de efeito (d de Cohen ou r, conforme o teste utilizado). As respostas da escala de percepção serão analisadas por estatística descritiva (médias e desvios-padrão por item) e, caso o tamanho amostral permita, será calculado o coeficiente alfa de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Cronbach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para verificar a consistência interna da escala. O nível de significância adotado será de 5% (p &lt; 0,05).</w:t>
      </w:r>
    </w:p>
    <w:p w14:paraId="3582BE85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Desfecho Primário</w:t>
      </w:r>
    </w:p>
    <w:p w14:paraId="73D3B5CD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Variação (ganho) no escore de acertos do teste de conhecimento em Química Orgânica (0 a 14 pontos) entre o pré-teste e o pós-teste, no mesmo grupo de estudantes.</w:t>
      </w:r>
    </w:p>
    <w:p w14:paraId="1BF2703D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lastRenderedPageBreak/>
        <w:t>Desfecho Secundário</w:t>
      </w:r>
    </w:p>
    <w:p w14:paraId="3EC883E4" w14:textId="77777777" w:rsidR="00AF1F67" w:rsidRPr="0021069F" w:rsidRDefault="00000000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 xml:space="preserve">Escores médios obtidos em cada item da escala de percepção do tipo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Likert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(1 a 5 pontos), referentes a engajamento, motivação, percepção de aprendizagem, facilidade de uso, autoconfiança e recomendação do jogo.</w:t>
      </w:r>
    </w:p>
    <w:p w14:paraId="2D78905B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Tamanho da Amostra no Brasil</w:t>
      </w:r>
    </w:p>
    <w:p w14:paraId="0546B453" w14:textId="63A5CC61" w:rsidR="00AF1F67" w:rsidRPr="0021069F" w:rsidRDefault="0021069F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80</w:t>
      </w:r>
      <w:r w:rsidR="00000000" w:rsidRPr="0021069F">
        <w:rPr>
          <w:rFonts w:ascii="Calibri" w:eastAsia="Calibri" w:hAnsi="Calibri" w:cs="Calibri"/>
          <w:sz w:val="22"/>
          <w:szCs w:val="22"/>
        </w:rPr>
        <w:t xml:space="preserve"> participantes, estudantes da turma </w:t>
      </w:r>
      <w:r w:rsidRPr="0021069F">
        <w:rPr>
          <w:rFonts w:ascii="Calibri" w:eastAsia="Calibri" w:hAnsi="Calibri" w:cs="Calibri"/>
          <w:sz w:val="22"/>
          <w:szCs w:val="22"/>
        </w:rPr>
        <w:t xml:space="preserve">de terceiro ano do ensino médio de escola estadual em </w:t>
      </w:r>
      <w:proofErr w:type="spellStart"/>
      <w:r w:rsidRPr="0021069F">
        <w:rPr>
          <w:rFonts w:ascii="Calibri" w:eastAsia="Calibri" w:hAnsi="Calibri" w:cs="Calibri"/>
          <w:sz w:val="22"/>
          <w:szCs w:val="22"/>
        </w:rPr>
        <w:t>JI-Paraná</w:t>
      </w:r>
      <w:proofErr w:type="spellEnd"/>
      <w:r w:rsidRPr="0021069F">
        <w:rPr>
          <w:rFonts w:ascii="Calibri" w:eastAsia="Calibri" w:hAnsi="Calibri" w:cs="Calibri"/>
          <w:sz w:val="22"/>
          <w:szCs w:val="22"/>
        </w:rPr>
        <w:t xml:space="preserve"> </w:t>
      </w:r>
    </w:p>
    <w:p w14:paraId="04808FA6" w14:textId="77777777" w:rsidR="00AF1F67" w:rsidRPr="0021069F" w:rsidRDefault="00000000">
      <w:pPr>
        <w:pStyle w:val="Ttulo2"/>
        <w:pBdr>
          <w:bottom w:val="single" w:sz="6" w:space="4" w:color="7C3AED"/>
        </w:pBdr>
        <w:spacing w:before="280" w:after="100"/>
        <w:rPr>
          <w:color w:val="auto"/>
        </w:rPr>
      </w:pPr>
      <w:r w:rsidRPr="0021069F">
        <w:rPr>
          <w:rFonts w:ascii="Calibri" w:eastAsia="Calibri" w:hAnsi="Calibri" w:cs="Calibri"/>
          <w:b/>
          <w:bCs/>
          <w:color w:val="auto"/>
          <w:sz w:val="24"/>
          <w:szCs w:val="24"/>
        </w:rPr>
        <w:t>Data do Primeiro Recrutamento</w:t>
      </w:r>
    </w:p>
    <w:p w14:paraId="53138F52" w14:textId="71B4B163" w:rsidR="00AF1F67" w:rsidRPr="0021069F" w:rsidRDefault="0021069F">
      <w:pPr>
        <w:spacing w:after="140"/>
        <w:jc w:val="both"/>
      </w:pPr>
      <w:r w:rsidRPr="0021069F">
        <w:rPr>
          <w:rFonts w:ascii="Calibri" w:eastAsia="Calibri" w:hAnsi="Calibri" w:cs="Calibri"/>
          <w:sz w:val="22"/>
          <w:szCs w:val="22"/>
        </w:rPr>
        <w:t>Novembro de 2026</w:t>
      </w:r>
    </w:p>
    <w:p w14:paraId="0D3E2F72" w14:textId="618172A8" w:rsidR="00AF1F67" w:rsidRPr="0021069F" w:rsidRDefault="00AF1F67">
      <w:pPr>
        <w:spacing w:after="140"/>
        <w:jc w:val="both"/>
      </w:pPr>
    </w:p>
    <w:sectPr w:rsidR="00AF1F67" w:rsidRPr="0021069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3819AA"/>
    <w:multiLevelType w:val="hybridMultilevel"/>
    <w:tmpl w:val="9AE4B88E"/>
    <w:lvl w:ilvl="0" w:tplc="A7E0F06E">
      <w:start w:val="1"/>
      <w:numFmt w:val="bullet"/>
      <w:lvlText w:val="●"/>
      <w:lvlJc w:val="left"/>
      <w:pPr>
        <w:ind w:left="720" w:hanging="360"/>
      </w:pPr>
    </w:lvl>
    <w:lvl w:ilvl="1" w:tplc="3348BA36">
      <w:start w:val="1"/>
      <w:numFmt w:val="bullet"/>
      <w:lvlText w:val="○"/>
      <w:lvlJc w:val="left"/>
      <w:pPr>
        <w:ind w:left="1440" w:hanging="360"/>
      </w:pPr>
    </w:lvl>
    <w:lvl w:ilvl="2" w:tplc="544A2176">
      <w:start w:val="1"/>
      <w:numFmt w:val="bullet"/>
      <w:lvlText w:val="■"/>
      <w:lvlJc w:val="left"/>
      <w:pPr>
        <w:ind w:left="2160" w:hanging="360"/>
      </w:pPr>
    </w:lvl>
    <w:lvl w:ilvl="3" w:tplc="2348D728">
      <w:start w:val="1"/>
      <w:numFmt w:val="bullet"/>
      <w:lvlText w:val="●"/>
      <w:lvlJc w:val="left"/>
      <w:pPr>
        <w:ind w:left="2880" w:hanging="360"/>
      </w:pPr>
    </w:lvl>
    <w:lvl w:ilvl="4" w:tplc="98767BC2">
      <w:start w:val="1"/>
      <w:numFmt w:val="bullet"/>
      <w:lvlText w:val="○"/>
      <w:lvlJc w:val="left"/>
      <w:pPr>
        <w:ind w:left="3600" w:hanging="360"/>
      </w:pPr>
    </w:lvl>
    <w:lvl w:ilvl="5" w:tplc="3ADECDCC">
      <w:start w:val="1"/>
      <w:numFmt w:val="bullet"/>
      <w:lvlText w:val="■"/>
      <w:lvlJc w:val="left"/>
      <w:pPr>
        <w:ind w:left="4320" w:hanging="360"/>
      </w:pPr>
    </w:lvl>
    <w:lvl w:ilvl="6" w:tplc="8FFC48FE">
      <w:start w:val="1"/>
      <w:numFmt w:val="bullet"/>
      <w:lvlText w:val="●"/>
      <w:lvlJc w:val="left"/>
      <w:pPr>
        <w:ind w:left="5040" w:hanging="360"/>
      </w:pPr>
    </w:lvl>
    <w:lvl w:ilvl="7" w:tplc="B73AD21E">
      <w:start w:val="1"/>
      <w:numFmt w:val="bullet"/>
      <w:lvlText w:val="●"/>
      <w:lvlJc w:val="left"/>
      <w:pPr>
        <w:ind w:left="5760" w:hanging="360"/>
      </w:pPr>
    </w:lvl>
    <w:lvl w:ilvl="8" w:tplc="76ECA206">
      <w:start w:val="1"/>
      <w:numFmt w:val="bullet"/>
      <w:lvlText w:val="●"/>
      <w:lvlJc w:val="left"/>
      <w:pPr>
        <w:ind w:left="6480" w:hanging="360"/>
      </w:pPr>
    </w:lvl>
  </w:abstractNum>
  <w:num w:numId="1" w16cid:durableId="1789354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67"/>
    <w:rsid w:val="001B2971"/>
    <w:rsid w:val="0021069F"/>
    <w:rsid w:val="00A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F19D29"/>
  <w15:docId w15:val="{FEBD8508-0ECC-8947-BDE3-C6814222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1072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2</cp:revision>
  <dcterms:created xsi:type="dcterms:W3CDTF">2026-09-14T21:11:00Z</dcterms:created>
  <dcterms:modified xsi:type="dcterms:W3CDTF">2026-10-03T16:03:00Z</dcterms:modified>
</cp:coreProperties>
</file>