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6"/>
          <w:szCs w:val="26"/>
        </w:rPr>
        <w:t xml:space="preserve">PROJETO DE PESQUISA</w:t>
      </w:r>
    </w:p>
    <w:p>
      <w:pPr>
        <w:spacing w:after="200"/>
        <w:jc w:val="center"/>
      </w:pPr>
      <w:r>
        <w:rPr>
          <w:rFonts w:ascii="Calibri" w:cs="Calibri" w:eastAsia="Calibri" w:hAnsi="Calibri"/>
          <w:i/>
          <w:iCs/>
          <w:sz w:val="22"/>
          <w:szCs w:val="22"/>
        </w:rPr>
        <w:t xml:space="preserve">Rascunho para submissão ao Comitê de Ética em Pesquisa (Plataforma Brasil)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E0C36A" w:sz="4"/>
              <w:left w:val="single" w:color="E0C36A" w:sz="4"/>
              <w:bottom w:val="single" w:color="E0C36A" w:sz="4"/>
              <w:right w:val="single" w:color="E0C36A" w:sz="4"/>
            </w:tcBorders>
            <w:shd w:fill="FFF3CD" w:color="auto" w:val="clear"/>
            <w:tcMar>
              <w:top w:type="dxa" w:w="120"/>
              <w:left w:type="dxa" w:w="160"/>
              <w:bottom w:type="dxa" w:w="120"/>
              <w:right w:type="dxa" w:w="160"/>
            </w:tcMar>
          </w:tcPr>
          <w:p>
            <w:r>
              <w:rPr>
                <w:rFonts w:ascii="Calibri" w:cs="Calibri" w:eastAsia="Calibri" w:hAnsi="Calibri"/>
                <w:i/>
                <w:iCs/>
                <w:sz w:val="20"/>
                <w:szCs w:val="20"/>
              </w:rPr>
              <w:t xml:space="preserve">⚠ Estrutura alinhada aos campos típicos da Plataforma Brasil. Complete os trechos entre colchetes com os dados específicos do seu campus/turma antes de submeter.</w:t>
            </w:r>
          </w:p>
        </w:tc>
      </w:tr>
    </w:tbl>
    <w:p>
      <w:pPr>
        <w:spacing w:after="100"/>
      </w:pPr>
    </w:p>
    <w:p>
      <w:pPr>
        <w:pStyle w:val="Heading2"/>
        <w:spacing w:after="100" w:before="220"/>
      </w:pPr>
      <w:r>
        <w:rPr>
          <w:rFonts w:ascii="Calibri" w:cs="Calibri" w:eastAsia="Calibri" w:hAnsi="Calibri"/>
          <w:b/>
          <w:bCs/>
          <w:sz w:val="22"/>
          <w:szCs w:val="22"/>
        </w:rPr>
        <w:t xml:space="preserve">1. Título do projeto</w:t>
      </w:r>
    </w:p>
    <w:p>
      <w:pPr>
        <w:spacing w:after="140"/>
        <w:jc w:val="both"/>
      </w:pPr>
      <w:r>
        <w:rPr>
          <w:rFonts w:ascii="Calibri" w:cs="Calibri" w:eastAsia="Calibri" w:hAnsi="Calibri"/>
          <w:sz w:val="22"/>
          <w:szCs w:val="22"/>
        </w:rPr>
        <w:t xml:space="preserve">[Ex.: "O uso de um jogo educativo digital (Ludo Orgânico) na aprendizagem de Química Orgânica: percepção e desempenho de estudantes do Ensino Médio"]</w:t>
      </w:r>
    </w:p>
    <w:p>
      <w:pPr>
        <w:pStyle w:val="Heading2"/>
        <w:spacing w:after="100" w:before="220"/>
      </w:pPr>
      <w:r>
        <w:rPr>
          <w:rFonts w:ascii="Calibri" w:cs="Calibri" w:eastAsia="Calibri" w:hAnsi="Calibri"/>
          <w:b/>
          <w:bCs/>
          <w:sz w:val="22"/>
          <w:szCs w:val="22"/>
        </w:rPr>
        <w:t xml:space="preserve">2. Pesquisador responsável e instituição proponente</w:t>
      </w:r>
    </w:p>
    <w:p>
      <w:pPr>
        <w:spacing w:after="140"/>
        <w:jc w:val="both"/>
      </w:pPr>
      <w:r>
        <w:rPr>
          <w:rFonts w:ascii="Calibri" w:cs="Calibri" w:eastAsia="Calibri" w:hAnsi="Calibri"/>
          <w:sz w:val="22"/>
          <w:szCs w:val="22"/>
        </w:rPr>
        <w:t xml:space="preserve">Pesquisador responsável: Rafael Vieira — Professor de Química, [Campus] do Instituto Federal de Rondônia (IFRO). Contato: rafael.vieira@ifro.edu.br.</w:t>
      </w:r>
    </w:p>
    <w:p>
      <w:pPr>
        <w:spacing w:after="140"/>
        <w:jc w:val="both"/>
      </w:pPr>
      <w:r>
        <w:rPr>
          <w:rFonts w:ascii="Calibri" w:cs="Calibri" w:eastAsia="Calibri" w:hAnsi="Calibri"/>
          <w:sz w:val="22"/>
          <w:szCs w:val="22"/>
        </w:rPr>
        <w:t xml:space="preserve">Instituição proponente: Instituto Federal de Rondônia (IFRO) — [Campus].</w:t>
      </w:r>
    </w:p>
    <w:p>
      <w:pPr>
        <w:pStyle w:val="Heading2"/>
        <w:spacing w:after="100" w:before="220"/>
      </w:pPr>
      <w:r>
        <w:rPr>
          <w:rFonts w:ascii="Calibri" w:cs="Calibri" w:eastAsia="Calibri" w:hAnsi="Calibri"/>
          <w:b/>
          <w:bCs/>
          <w:sz w:val="22"/>
          <w:szCs w:val="22"/>
        </w:rPr>
        <w:t xml:space="preserve">3. Resumo</w:t>
      </w:r>
    </w:p>
    <w:p>
      <w:pPr>
        <w:spacing w:after="140"/>
        <w:jc w:val="both"/>
      </w:pPr>
      <w:r>
        <w:rPr>
          <w:rFonts w:ascii="Calibri" w:cs="Calibri" w:eastAsia="Calibri" w:hAnsi="Calibri"/>
          <w:sz w:val="22"/>
          <w:szCs w:val="22"/>
        </w:rPr>
        <w:t xml:space="preserve">Este estudo tem como objetivo avaliar o efeito do uso do jogo educativo "Ludo Orgânico" sobre a aprendizagem de conteúdos de Química Orgânica e sobre a percepção de estudantes do Ensino Médio quanto à sua experiência com o jogo. Trata-se de um estudo quase-experimental de grupo único, com aplicação de um instrumento de conhecimento antes e depois da intervenção, complementado por uma escala de percepção aplicada após o uso do jogo.</w:t>
      </w:r>
    </w:p>
    <w:p>
      <w:pPr>
        <w:pStyle w:val="Heading2"/>
        <w:spacing w:after="100" w:before="220"/>
      </w:pPr>
      <w:r>
        <w:rPr>
          <w:rFonts w:ascii="Calibri" w:cs="Calibri" w:eastAsia="Calibri" w:hAnsi="Calibri"/>
          <w:b/>
          <w:bCs/>
          <w:sz w:val="22"/>
          <w:szCs w:val="22"/>
        </w:rPr>
        <w:t xml:space="preserve">4. Introdução e justificativa</w:t>
      </w:r>
    </w:p>
    <w:p>
      <w:pPr>
        <w:spacing w:after="140"/>
        <w:jc w:val="both"/>
      </w:pPr>
      <w:r>
        <w:rPr>
          <w:rFonts w:ascii="Calibri" w:cs="Calibri" w:eastAsia="Calibri" w:hAnsi="Calibri"/>
          <w:sz w:val="22"/>
          <w:szCs w:val="22"/>
        </w:rPr>
        <w:t xml:space="preserve">O ensino de Química Orgânica é frequentemente apontado por estudantes como de difícil compreensão, especialmente em razão da grande quantidade de nomenclaturas, estruturas e funções orgânicas a serem memorizadas e relacionadas. Estratégias gamificadas têm sido apontadas na literatura de ensino de ciências como potenciais facilitadoras do engajamento e da fixação de conteúdos. O jogo "Ludo Orgânico", desenvolvido pelo pesquisador responsável, propõe-se a essa finalidade, e este estudo busca gerar evidências empíricas sobre sua efetividade percebida e seu impacto no desempenho dos estudantes.</w:t>
      </w:r>
    </w:p>
    <w:p>
      <w:pPr>
        <w:pStyle w:val="Heading2"/>
        <w:spacing w:after="100" w:before="220"/>
      </w:pPr>
      <w:r>
        <w:rPr>
          <w:rFonts w:ascii="Calibri" w:cs="Calibri" w:eastAsia="Calibri" w:hAnsi="Calibri"/>
          <w:b/>
          <w:bCs/>
          <w:sz w:val="22"/>
          <w:szCs w:val="22"/>
        </w:rPr>
        <w:t xml:space="preserve">5. Objetivos</w:t>
      </w:r>
    </w:p>
    <w:p>
      <w:pPr>
        <w:spacing w:after="140"/>
        <w:jc w:val="both"/>
      </w:pPr>
      <w:r>
        <w:rPr>
          <w:rFonts w:ascii="Calibri" w:cs="Calibri" w:eastAsia="Calibri" w:hAnsi="Calibri"/>
          <w:sz w:val="22"/>
          <w:szCs w:val="22"/>
        </w:rPr>
        <w:t xml:space="preserve">Objetivo geral: avaliar a contribuição do jogo educativo "Ludo Orgânico" para a aprendizagem de Química Orgânica em uma turma do Ensino Médio.</w:t>
      </w:r>
    </w:p>
    <w:p>
      <w:pPr>
        <w:spacing w:after="80"/>
        <w:ind w:left="360"/>
        <w:jc w:val="both"/>
      </w:pPr>
      <w:r>
        <w:rPr>
          <w:rFonts w:ascii="Calibri" w:cs="Calibri" w:eastAsia="Calibri" w:hAnsi="Calibri"/>
          <w:sz w:val="22"/>
          <w:szCs w:val="22"/>
        </w:rPr>
        <w:t xml:space="preserve">• Verificar se há diferença entre o desempenho dos estudantes em um teste de conhecimento aplicado antes e depois do uso do jogo.</w:t>
      </w:r>
    </w:p>
    <w:p>
      <w:pPr>
        <w:spacing w:after="80"/>
        <w:ind w:left="360"/>
        <w:jc w:val="both"/>
      </w:pPr>
      <w:r>
        <w:rPr>
          <w:rFonts w:ascii="Calibri" w:cs="Calibri" w:eastAsia="Calibri" w:hAnsi="Calibri"/>
          <w:sz w:val="22"/>
          <w:szCs w:val="22"/>
        </w:rPr>
        <w:t xml:space="preserve">• Caracterizar a percepção dos estudantes quanto ao engajamento, à motivação e à utilidade percebida do jogo para a aprendizagem.</w:t>
      </w:r>
    </w:p>
    <w:p>
      <w:pPr>
        <w:pStyle w:val="Heading2"/>
        <w:spacing w:after="100" w:before="220"/>
      </w:pPr>
      <w:r>
        <w:rPr>
          <w:rFonts w:ascii="Calibri" w:cs="Calibri" w:eastAsia="Calibri" w:hAnsi="Calibri"/>
          <w:b/>
          <w:bCs/>
          <w:sz w:val="22"/>
          <w:szCs w:val="22"/>
        </w:rPr>
        <w:t xml:space="preserve">6. Metodologia</w:t>
      </w:r>
    </w:p>
    <w:p>
      <w:pPr>
        <w:spacing w:after="140"/>
        <w:jc w:val="both"/>
      </w:pPr>
      <w:r>
        <w:rPr>
          <w:rFonts w:ascii="Calibri" w:cs="Calibri" w:eastAsia="Calibri" w:hAnsi="Calibri"/>
          <w:sz w:val="22"/>
          <w:szCs w:val="22"/>
        </w:rPr>
        <w:t xml:space="preserve">Delineamento: estudo quase-experimental, de abordagem quanti-qualitativa, com desenho de grupo único e aplicação de pré-teste e pós-teste.</w:t>
      </w:r>
    </w:p>
    <w:p>
      <w:pPr>
        <w:spacing w:after="140"/>
        <w:jc w:val="both"/>
      </w:pPr>
      <w:r>
        <w:rPr>
          <w:rFonts w:ascii="Calibri" w:cs="Calibri" w:eastAsia="Calibri" w:hAnsi="Calibri"/>
          <w:sz w:val="22"/>
          <w:szCs w:val="22"/>
        </w:rPr>
        <w:t xml:space="preserve">População e amostra: estudantes regularmente matriculados na disciplina de Química, na turma [identificar turma/série], do [Campus] do IFRO, totalizando aproximadamente [N] estudantes. Participarão os estudantes cujos responsáveis assinarem o TCLE e que assinarem o TALE.</w:t>
      </w:r>
    </w:p>
    <w:p>
      <w:pPr>
        <w:spacing w:after="140"/>
        <w:jc w:val="both"/>
      </w:pPr>
      <w:r>
        <w:rPr>
          <w:rFonts w:ascii="Calibri" w:cs="Calibri" w:eastAsia="Calibri" w:hAnsi="Calibri"/>
          <w:sz w:val="22"/>
          <w:szCs w:val="22"/>
        </w:rPr>
        <w:t xml:space="preserve">Critérios de inclusão: estar regularmente matriculado(a) na turma e disciplina indicadas, e apresentar TCLE e TALE assinados.</w:t>
      </w:r>
    </w:p>
    <w:p>
      <w:pPr>
        <w:spacing w:after="140"/>
        <w:jc w:val="both"/>
      </w:pPr>
      <w:r>
        <w:rPr>
          <w:rFonts w:ascii="Calibri" w:cs="Calibri" w:eastAsia="Calibri" w:hAnsi="Calibri"/>
          <w:sz w:val="22"/>
          <w:szCs w:val="22"/>
        </w:rPr>
        <w:t xml:space="preserve">Critérios de exclusão: recusa em assinar o TALE, ausência do responsável em assinar o TCLE, ou ausência do estudante em uma das duas aplicações do instrumento.</w:t>
      </w:r>
    </w:p>
    <w:p>
      <w:pPr>
        <w:spacing w:after="140"/>
        <w:jc w:val="both"/>
      </w:pPr>
      <w:r>
        <w:rPr>
          <w:rFonts w:ascii="Calibri" w:cs="Calibri" w:eastAsia="Calibri" w:hAnsi="Calibri"/>
          <w:sz w:val="22"/>
          <w:szCs w:val="22"/>
        </w:rPr>
        <w:t xml:space="preserve">Instrumentos de coleta de dados: (i) teste de conhecimento com 14 questões de múltipla escolha sobre Química Orgânica, aplicado antes e depois do uso do jogo; (ii) escala de percepção do tipo Likert de 5 pontos, com 8 itens, aplicada somente após o uso do jogo (instrumento em anexo).</w:t>
      </w:r>
    </w:p>
    <w:p>
      <w:pPr>
        <w:spacing w:after="140"/>
        <w:jc w:val="both"/>
      </w:pPr>
      <w:r>
        <w:rPr>
          <w:rFonts w:ascii="Calibri" w:cs="Calibri" w:eastAsia="Calibri" w:hAnsi="Calibri"/>
          <w:sz w:val="22"/>
          <w:szCs w:val="22"/>
        </w:rPr>
        <w:t xml:space="preserve">Procedimento de coleta: em uma primeira aula, será aplicado o teste de conhecimento (pré-teste). Em seguida, os estudantes jogarão o "Ludo Orgânico" em pequenos grupos, sob supervisão do professor/pesquisador. Ao final da mesma aula ou na aula seguinte, o mesmo teste de conhecimento será reaplicado (pós-teste), seguido da escala de percepção.</w:t>
      </w:r>
    </w:p>
    <w:p>
      <w:pPr>
        <w:spacing w:after="140"/>
        <w:jc w:val="both"/>
      </w:pPr>
      <w:r>
        <w:rPr>
          <w:rFonts w:ascii="Calibri" w:cs="Calibri" w:eastAsia="Calibri" w:hAnsi="Calibri"/>
          <w:sz w:val="22"/>
          <w:szCs w:val="22"/>
        </w:rPr>
        <w:t xml:space="preserve">Análise de dados: os escores de acerto no pré e no pós-teste serão comparados por meio de teste t pareado ou, caso a distribuição não seja normal ou a amostra seja pequena, pelo teste de Wilcoxon. As respostas da escala de percepção serão analisadas por estatística descritiva (médias e desvios-padrão por item) e, se a amostra permitir, será calculado o coeficiente alfa de Cronbach para verificar a consistência interna da escala.</w:t>
      </w:r>
    </w:p>
    <w:p>
      <w:pPr>
        <w:pStyle w:val="Heading2"/>
        <w:spacing w:after="100" w:before="220"/>
      </w:pPr>
      <w:r>
        <w:rPr>
          <w:rFonts w:ascii="Calibri" w:cs="Calibri" w:eastAsia="Calibri" w:hAnsi="Calibri"/>
          <w:b/>
          <w:bCs/>
          <w:sz w:val="22"/>
          <w:szCs w:val="22"/>
        </w:rPr>
        <w:t xml:space="preserve">7. Riscos e benefícios</w:t>
      </w:r>
    </w:p>
    <w:p>
      <w:pPr>
        <w:spacing w:after="140"/>
        <w:jc w:val="both"/>
      </w:pPr>
      <w:r>
        <w:rPr>
          <w:rFonts w:ascii="Calibri" w:cs="Calibri" w:eastAsia="Calibri" w:hAnsi="Calibri"/>
          <w:sz w:val="22"/>
          <w:szCs w:val="22"/>
        </w:rPr>
        <w:t xml:space="preserve">Riscos: mínimos, compatíveis com uma atividade avaliativa escolar de rotina. Não há coleta de dados sensíveis, procedimentos invasivos ou exposição a situações de constrangimento. Medida de mitigação: participação voluntária, anônima (identificação por código) e sem qualquer vínculo com a avaliação formal da disciplina, garantindo que a relação professor-pesquisador/estudante-participante não gere constrangimento ou coação.</w:t>
      </w:r>
    </w:p>
    <w:p>
      <w:pPr>
        <w:spacing w:after="140"/>
        <w:jc w:val="both"/>
      </w:pPr>
      <w:r>
        <w:rPr>
          <w:rFonts w:ascii="Calibri" w:cs="Calibri" w:eastAsia="Calibri" w:hAnsi="Calibri"/>
          <w:sz w:val="22"/>
          <w:szCs w:val="22"/>
        </w:rPr>
        <w:t xml:space="preserve">Benefícios: contribuição para o aprimoramento de estratégias de ensino de Química Orgânica na instituição; geração de conhecimento científico sobre o uso de jogos educativos no ensino de Química, com potencial benefício para outros estudantes e docentes.</w:t>
      </w:r>
    </w:p>
    <w:p>
      <w:pPr>
        <w:pStyle w:val="Heading2"/>
        <w:spacing w:after="100" w:before="220"/>
      </w:pPr>
      <w:r>
        <w:rPr>
          <w:rFonts w:ascii="Calibri" w:cs="Calibri" w:eastAsia="Calibri" w:hAnsi="Calibri"/>
          <w:b/>
          <w:bCs/>
          <w:sz w:val="22"/>
          <w:szCs w:val="22"/>
        </w:rPr>
        <w:t xml:space="preserve">8. Aspectos éticos</w:t>
      </w:r>
    </w:p>
    <w:p>
      <w:pPr>
        <w:spacing w:after="140"/>
        <w:jc w:val="both"/>
      </w:pPr>
      <w:r>
        <w:rPr>
          <w:rFonts w:ascii="Calibri" w:cs="Calibri" w:eastAsia="Calibri" w:hAnsi="Calibri"/>
          <w:sz w:val="22"/>
          <w:szCs w:val="22"/>
        </w:rPr>
        <w:t xml:space="preserve">A pesquisa será conduzida em conformidade com as Resoluções CNS nº 466/2012 e nº 510/2016. Será obtido o Termo de Consentimento Livre e Esclarecido (TCLE) dos responsáveis legais e o Termo de Assentimento Livre e Esclarecido (TALE) dos estudantes participantes, ambos em anexo. Os dados serão identificados apenas por código, armazenados em local seguro com acesso restrito ao pesquisador responsável, utilizados exclusivamente para fins de pesquisa e eventual publicação científica de resultados agregados (sem identificação individual), e mantidos por [prazo] antes do descarte seguro. A participação é voluntária e não interfere na avaliação escolar dos estudantes.</w:t>
      </w:r>
    </w:p>
    <w:p>
      <w:pPr>
        <w:pStyle w:val="Heading2"/>
        <w:spacing w:after="100" w:before="220"/>
      </w:pPr>
      <w:r>
        <w:rPr>
          <w:rFonts w:ascii="Calibri" w:cs="Calibri" w:eastAsia="Calibri" w:hAnsi="Calibri"/>
          <w:b/>
          <w:bCs/>
          <w:sz w:val="22"/>
          <w:szCs w:val="22"/>
        </w:rPr>
        <w:t xml:space="preserve">9. Cronograma (sugestão)</w:t>
      </w:r>
    </w:p>
    <w:p>
      <w:pPr>
        <w:spacing w:after="80"/>
        <w:ind w:left="360"/>
        <w:jc w:val="both"/>
      </w:pPr>
      <w:r>
        <w:rPr>
          <w:rFonts w:ascii="Calibri" w:cs="Calibri" w:eastAsia="Calibri" w:hAnsi="Calibri"/>
          <w:sz w:val="22"/>
          <w:szCs w:val="22"/>
        </w:rPr>
        <w:t xml:space="preserve">• [Mês/ano]: submissão e aprovação do projeto no CEP.</w:t>
      </w:r>
    </w:p>
    <w:p>
      <w:pPr>
        <w:spacing w:after="80"/>
        <w:ind w:left="360"/>
        <w:jc w:val="both"/>
      </w:pPr>
      <w:r>
        <w:rPr>
          <w:rFonts w:ascii="Calibri" w:cs="Calibri" w:eastAsia="Calibri" w:hAnsi="Calibri"/>
          <w:sz w:val="22"/>
          <w:szCs w:val="22"/>
        </w:rPr>
        <w:t xml:space="preserve">• [Mês/ano]: aplicação do pré-teste, do jogo e do pós-teste.</w:t>
      </w:r>
    </w:p>
    <w:p>
      <w:pPr>
        <w:spacing w:after="80"/>
        <w:ind w:left="360"/>
        <w:jc w:val="both"/>
      </w:pPr>
      <w:r>
        <w:rPr>
          <w:rFonts w:ascii="Calibri" w:cs="Calibri" w:eastAsia="Calibri" w:hAnsi="Calibri"/>
          <w:sz w:val="22"/>
          <w:szCs w:val="22"/>
        </w:rPr>
        <w:t xml:space="preserve">• [Mês/ano]: tabulação e análise dos dados.</w:t>
      </w:r>
    </w:p>
    <w:p>
      <w:pPr>
        <w:spacing w:after="80"/>
        <w:ind w:left="360"/>
        <w:jc w:val="both"/>
      </w:pPr>
      <w:r>
        <w:rPr>
          <w:rFonts w:ascii="Calibri" w:cs="Calibri" w:eastAsia="Calibri" w:hAnsi="Calibri"/>
          <w:sz w:val="22"/>
          <w:szCs w:val="22"/>
        </w:rPr>
        <w:t xml:space="preserve">• [Mês/ano]: redação e submissão do artigo científico.</w:t>
      </w:r>
    </w:p>
    <w:p>
      <w:pPr>
        <w:pStyle w:val="Heading2"/>
        <w:spacing w:after="100" w:before="220"/>
      </w:pPr>
      <w:r>
        <w:rPr>
          <w:rFonts w:ascii="Calibri" w:cs="Calibri" w:eastAsia="Calibri" w:hAnsi="Calibri"/>
          <w:b/>
          <w:bCs/>
          <w:sz w:val="22"/>
          <w:szCs w:val="22"/>
        </w:rPr>
        <w:t xml:space="preserve">10. Referências</w:t>
      </w:r>
    </w:p>
    <w:p>
      <w:pPr>
        <w:spacing w:after="140"/>
        <w:jc w:val="both"/>
      </w:pPr>
      <w:r>
        <w:rPr>
          <w:rFonts w:ascii="Calibri" w:cs="Calibri" w:eastAsia="Calibri" w:hAnsi="Calibri"/>
          <w:sz w:val="22"/>
          <w:szCs w:val="22"/>
        </w:rPr>
        <w:t xml:space="preserve">[Inserir referências bibliográficas sobre gamificação no ensino de Química, ensino de Química Orgânica e metodologia de avaliação pré/pós-teste utilizadas na fundamentação do projeto.]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2026-09-12T12:48:08.727Z</dcterms:created>
  <dcterms:modified xsi:type="dcterms:W3CDTF">2026-09-12T12:48:08.727Z</dcterms:modified>
</cp:coreProperties>
</file>

<file path=docProps/custom.xml><?xml version="1.0" encoding="utf-8"?>
<Properties xmlns="http://schemas.openxmlformats.org/officeDocument/2006/custom-properties" xmlns:vt="http://schemas.openxmlformats.org/officeDocument/2006/docPropsVTypes"/>
</file>