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Levantamento de requisitos</w:t>
      </w:r>
    </w:p>
    <w:p>
      <w:pPr>
        <w:pStyle w:val="Subtitle"/>
      </w:pPr>
      <w:r>
        <w:rPr>
          <w:sz w:val="20"/>
        </w:rPr>
        <w:t>Web Guarda | Requisitos funcionais e não funcionais | PostgreSQL</w:t>
      </w:r>
    </w:p>
    <w:p>
      <w:pPr>
        <w:pStyle w:val="Heading1"/>
      </w:pPr>
      <w:r>
        <w:t>1. Identificação e objetivo</w:t>
      </w:r>
    </w:p>
    <w:p>
      <w:r>
        <w:t>Plataforma web educativa voltada à inclusão digital e à conscientização sobre segurança na internet, inicialmente dirigida a alunos e colaboradores atendidos no Instituto Benjamin Constant (IBC). O desenvolvimento integra Engenharia de Software, Banco de Dados e Front-end/Back-end.</w:t>
      </w:r>
    </w:p>
    <w:p>
      <w:r>
        <w:t>O documento define os requisitos das atividades atribuídas à equipe de modelagem. A seleção de PostgreSQL foi comunicada pelo Scrum Master. Nome, e-mail, senha, login individual e feedback textual anônimo foram confirmados para o produto. Os parâmetros das provas e dos módulos são especificação inicial do MVP, delegada para elaboração técnica.</w:t>
      </w:r>
    </w:p>
    <w:p>
      <w:pPr>
        <w:pStyle w:val="Heading1"/>
      </w:pPr>
      <w:r>
        <w:t>2. Fluxo de utilização</w:t>
      </w:r>
    </w:p>
    <w:p>
      <w:r>
        <w:t>Cadastro → Login → Avaliação inicial (pré-teste) → Conteúdos educativos → Avaliação final (pós-teste) → Comparação dos resultados → Feedback textual anônimo.</w:t>
      </w:r>
    </w:p>
    <w:p>
      <w:pPr>
        <w:pStyle w:val="Heading1"/>
      </w:pPr>
      <w:r>
        <w:t>3. Escopo e premissas do MVP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/>
          <w:tblHeader w:val="true"/>
        </w:trPr>
        <w:tc>
          <w:tcPr>
            <w:tcW w:type="dxa" w:w="2160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7344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Público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sz w:val="18"/>
              </w:rPr>
              <w:t>Participantes da ação de extensão: alunos e colaboradores atendidos no IBC.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Perfis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sz w:val="18"/>
              </w:rPr>
              <w:t>PARTICIPANTE e ADMIN, com funções separadas por autorização.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Avaliações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sz w:val="18"/>
              </w:rPr>
              <w:t>Pré-teste e pós-teste: dez questões objetivas cada, quatro alternativas por questão, uma correta; dois itens por eixo temático.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Escala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sz w:val="18"/>
              </w:rPr>
              <w:t>Um ponto por acerto (0 a 10), equivalente a 0–100% para comparação.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Conteúdos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sz w:val="18"/>
              </w:rPr>
              <w:t>Cinco módulos: (1) phishing/golpes/engenharia social; (2) senhas/proteção de contas; (3) privacidade/proteção de dados; (4) páginas falsas/malware; (5) Wi-Fi público/computadores compartilhados.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Banco de dados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sz w:val="18"/>
              </w:rPr>
              <w:t>PostgreSQL 14+; esquema lógico e DDL de referência no documento de modelagem e no arquivo SQL.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Status metodológico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>
              <w:rPr>
                <w:sz w:val="18"/>
              </w:rPr>
              <w:t>Quantidade e regras de avaliações e módulos são a base proposta para o MVP; a equipe deve validar equivalência pedagógica e política de retentativas antes do piloto.</w:t>
            </w:r>
          </w:p>
        </w:tc>
      </w:tr>
    </w:tbl>
    <w:p/>
    <w:p>
      <w:pPr>
        <w:pStyle w:val="Heading1"/>
      </w:pPr>
      <w:r>
        <w:t>4. Requisitos funcionais</w:t>
      </w:r>
    </w:p>
    <w:p>
      <w:pPr>
        <w:pStyle w:val="Heading3"/>
      </w:pPr>
      <w:r>
        <w:t>RF-01 — Cadastrar participante</w:t>
      </w:r>
    </w:p>
    <w:p>
      <w:pPr>
        <w:keepNext/>
      </w:pPr>
      <w:r>
        <w:t>Permitir cadastro individual com nome, e-mail e senha. Exigir os três campos, impedir duplicidade de e-mail e enviar a senha ao serviço de autenticação para geração de hash seguro.</w:t>
      </w:r>
    </w:p>
    <w:p>
      <w:r>
        <w:rPr>
          <w:b/>
        </w:rPr>
        <w:t xml:space="preserve">Critério de aceite: </w:t>
      </w:r>
      <w:r>
        <w:t>Dados válidos geram uma conta; e-mail duplicado ou dados inválidos são rejeitados com mensagem apropriada.</w:t>
      </w:r>
    </w:p>
    <w:p>
      <w:pPr>
        <w:pStyle w:val="Heading3"/>
      </w:pPr>
      <w:r>
        <w:t>RF-02 — Efetuar login</w:t>
      </w:r>
    </w:p>
    <w:p>
      <w:pPr>
        <w:keepNext/>
      </w:pPr>
      <w:r>
        <w:t>Autenticar participantes e administradores com e-mail e senha; liberar somente os recursos autorizados pelo perfil. O participante poderá retomar seu percurso em acesso posterior.</w:t>
      </w:r>
    </w:p>
    <w:p>
      <w:r>
        <w:rPr>
          <w:b/>
        </w:rPr>
        <w:t xml:space="preserve">Critério de aceite: </w:t>
      </w:r>
      <w:r>
        <w:t>Credenciais corretas iniciam sessão; credenciais incorretas não concedem acesso a dados ou administração.</w:t>
      </w:r>
    </w:p>
    <w:p>
      <w:pPr>
        <w:pStyle w:val="Heading3"/>
      </w:pPr>
      <w:r>
        <w:t>RF-03 — Realizar avaliação inicial</w:t>
      </w:r>
    </w:p>
    <w:p>
      <w:pPr>
        <w:keepNext/>
      </w:pPr>
      <w:r>
        <w:t>Permitir que participante autenticado responda o pré-teste antes dos conteúdos educativos. No MVP, utilizar dez questões objetivas e quatro alternativas por questão.</w:t>
      </w:r>
    </w:p>
    <w:p>
      <w:r>
        <w:rPr>
          <w:b/>
        </w:rPr>
        <w:t xml:space="preserve">Critério de aceite: </w:t>
      </w:r>
      <w:r>
        <w:t>As respostas ficam associadas ao participante e à versão do questionário de fase INICIAL; tentativa concluída não pode ser alterada.</w:t>
      </w:r>
    </w:p>
    <w:p>
      <w:pPr>
        <w:pStyle w:val="Heading3"/>
      </w:pPr>
      <w:r>
        <w:t>RF-04 — Consultar conteúdos educativos</w:t>
      </w:r>
    </w:p>
    <w:p>
      <w:pPr>
        <w:keepNext/>
      </w:pPr>
      <w:r>
        <w:t>Após o pré-teste, apresentar os cinco módulos com materiais publicados e linguagem apropriada ao público-alvo.</w:t>
      </w:r>
    </w:p>
    <w:p>
      <w:r>
        <w:rPr>
          <w:b/>
        </w:rPr>
        <w:t xml:space="preserve">Critério de aceite: </w:t>
      </w:r>
      <w:r>
        <w:t>O participante acessa módulos publicados; itens em rascunho não são apresentados.</w:t>
      </w:r>
    </w:p>
    <w:p>
      <w:pPr>
        <w:pStyle w:val="Heading3"/>
      </w:pPr>
      <w:r>
        <w:t>RF-05 — Acompanhar conclusão dos módulos</w:t>
      </w:r>
    </w:p>
    <w:p>
      <w:pPr>
        <w:keepNext/>
      </w:pPr>
      <w:r>
        <w:t>Permitir registrar acesso e conclusão declarada de cada módulo, somente com as informações necessárias ao percurso. O clique de conclusão não é apresentado como prova de aprendizagem.</w:t>
      </w:r>
    </w:p>
    <w:p>
      <w:r>
        <w:rPr>
          <w:b/>
        </w:rPr>
        <w:t xml:space="preserve">Critério de aceite: </w:t>
      </w:r>
      <w:r>
        <w:t>O participante acompanha seu progresso e a aplicação consegue verificar módulos concluídos, sem monitoramento de navegação detalhado.</w:t>
      </w:r>
    </w:p>
    <w:p>
      <w:pPr>
        <w:pStyle w:val="Heading3"/>
      </w:pPr>
      <w:r>
        <w:t>RF-06 — Realizar avaliação final</w:t>
      </w:r>
    </w:p>
    <w:p>
      <w:pPr>
        <w:keepNext/>
      </w:pPr>
      <w:r>
        <w:t>Após a etapa educativa, permitir responder ao pós-teste de dez questões sobre as mesmas competências do pré-teste, preservando comparabilidade de escala.</w:t>
      </w:r>
    </w:p>
    <w:p>
      <w:r>
        <w:rPr>
          <w:b/>
        </w:rPr>
        <w:t xml:space="preserve">Critério de aceite: </w:t>
      </w:r>
      <w:r>
        <w:t>A fase FINAL só pode ser finalizada após o critério de conteúdo aprovado; respostas são preservadas por versão do instrumento.</w:t>
      </w:r>
    </w:p>
    <w:p>
      <w:pPr>
        <w:pStyle w:val="Heading3"/>
      </w:pPr>
      <w:r>
        <w:t>RF-07 — Registrar respostas e calcular pontuação</w:t>
      </w:r>
    </w:p>
    <w:p>
      <w:pPr>
        <w:keepNext/>
      </w:pPr>
      <w:r>
        <w:t>Persistir as alternativas escolhidas e calcular as duas notas de forma reprodutível. Para o MVP, cada acerto vale um ponto, convertido em porcentagem quando necessário.</w:t>
      </w:r>
    </w:p>
    <w:p>
      <w:r>
        <w:rPr>
          <w:b/>
        </w:rPr>
        <w:t xml:space="preserve">Critério de aceite: </w:t>
      </w:r>
      <w:r>
        <w:t>Não há duas respostas para a mesma questão na mesma tentativa; a nota é reproduzível a partir do gabarito do instrumento aplicado.</w:t>
      </w:r>
    </w:p>
    <w:p>
      <w:pPr>
        <w:pStyle w:val="Heading3"/>
      </w:pPr>
      <w:r>
        <w:t>RF-08 — Comparar resultados inicial e final</w:t>
      </w:r>
    </w:p>
    <w:p>
      <w:pPr>
        <w:keepNext/>
      </w:pPr>
      <w:r>
        <w:t>Para a equipe autorizada, exibir resultados do mesmo participante em questionários do mesmo grupo de comparação e versão, nas fases INICIAL e FINAL.</w:t>
      </w:r>
    </w:p>
    <w:p>
      <w:r>
        <w:rPr>
          <w:b/>
        </w:rPr>
        <w:t xml:space="preserve">Critério de aceite: </w:t>
      </w:r>
      <w:r>
        <w:t>A comparação aparece somente se ambas as tentativas estiverem concluídas; a diferença é exibida na mesma escala.</w:t>
      </w:r>
    </w:p>
    <w:p>
      <w:pPr>
        <w:pStyle w:val="Heading3"/>
      </w:pPr>
      <w:r>
        <w:t>RF-09 — Enviar feedback anônimo</w:t>
      </w:r>
    </w:p>
    <w:p>
      <w:pPr>
        <w:keepNext/>
      </w:pPr>
      <w:r>
        <w:t>Ao final do percurso, permitir envio de mensagem de texto livre, sem vinculação persistente com usuário, sessão ou tentativa.</w:t>
      </w:r>
    </w:p>
    <w:p>
      <w:r>
        <w:rPr>
          <w:b/>
        </w:rPr>
        <w:t xml:space="preserve">Critério de aceite: </w:t>
      </w:r>
      <w:r>
        <w:t>A base salva somente texto e data no registro de feedback; a interface alerta para não inserir dados pessoais na mensagem.</w:t>
      </w:r>
    </w:p>
    <w:p>
      <w:pPr>
        <w:pStyle w:val="Heading3"/>
      </w:pPr>
      <w:r>
        <w:t>RF-10 — Administrar conteúdos</w:t>
      </w:r>
    </w:p>
    <w:p>
      <w:pPr>
        <w:keepNext/>
      </w:pPr>
      <w:r>
        <w:t>Permitir que administrador autorizado crie, revise, publique e retire de publicação módulos educativos.</w:t>
      </w:r>
    </w:p>
    <w:p>
      <w:r>
        <w:rPr>
          <w:b/>
        </w:rPr>
        <w:t xml:space="preserve">Critério de aceite: </w:t>
      </w:r>
      <w:r>
        <w:t>Conteúdos não publicados são invisíveis aos participantes; alterações exigem autorização.</w:t>
      </w:r>
    </w:p>
    <w:p>
      <w:pPr>
        <w:pStyle w:val="Heading3"/>
      </w:pPr>
      <w:r>
        <w:t>RF-11 — Administrar questionários</w:t>
      </w:r>
    </w:p>
    <w:p>
      <w:pPr>
        <w:keepNext/>
      </w:pPr>
      <w:r>
        <w:t>Permitir criação de perguntas, alternativas, gabaritos, versões e publicação dos instrumentos inicial e final. Questões já utilizadas devem permanecer historicamente reprodutíveis.</w:t>
      </w:r>
    </w:p>
    <w:p>
      <w:r>
        <w:rPr>
          <w:b/>
        </w:rPr>
        <w:t xml:space="preserve">Critério de aceite: </w:t>
      </w:r>
      <w:r>
        <w:t>O instrumento publicado passa por validação de quantidade e correção; mudanças em instrumento já aplicado exigem nova versão.</w:t>
      </w:r>
    </w:p>
    <w:p>
      <w:pPr>
        <w:pStyle w:val="Heading3"/>
      </w:pPr>
      <w:r>
        <w:t>RF-12 — Consultar resultados da aplicação</w:t>
      </w:r>
    </w:p>
    <w:p>
      <w:pPr>
        <w:keepNext/>
      </w:pPr>
      <w:r>
        <w:t>Permitir à equipe autorizada consultar notas e indicadores de participação para análise pedagógica, sem exibir dados individuais a terceiros.</w:t>
      </w:r>
    </w:p>
    <w:p>
      <w:r>
        <w:rPr>
          <w:b/>
        </w:rPr>
        <w:t xml:space="preserve">Critério de aceite: </w:t>
      </w:r>
      <w:r>
        <w:t>Administrador autorizado consulta resultados; participante não acessa dados de outros usuários.</w:t>
      </w:r>
    </w:p>
    <w:p>
      <w:pPr>
        <w:pStyle w:val="Heading3"/>
      </w:pPr>
      <w:r>
        <w:t>RF-13 — Consultar feedbacks anônimos</w:t>
      </w:r>
    </w:p>
    <w:p>
      <w:pPr>
        <w:keepNext/>
      </w:pPr>
      <w:r>
        <w:t>Disponibilizar à equipe autorizada as mensagens coletadas para subsidiar melhorias da plataforma.</w:t>
      </w:r>
    </w:p>
    <w:p>
      <w:r>
        <w:rPr>
          <w:b/>
        </w:rPr>
        <w:t xml:space="preserve">Critério de aceite: </w:t>
      </w:r>
      <w:r>
        <w:t>A tela administrativa apresenta mensagens sem informações capazes de vinculá-las aos participantes.</w:t>
      </w:r>
    </w:p>
    <w:p>
      <w:pPr>
        <w:pStyle w:val="Heading1"/>
      </w:pPr>
      <w:r>
        <w:t>5. Requisitos não funcionais</w:t>
      </w:r>
    </w:p>
    <w:p>
      <w:pPr>
        <w:pStyle w:val="Heading3"/>
      </w:pPr>
      <w:r>
        <w:t>RNF-01 — Responsividade</w:t>
      </w:r>
    </w:p>
    <w:p>
      <w:pPr>
        <w:keepNext/>
      </w:pPr>
      <w:r>
        <w:t>Interface adaptada a celular, tablet e computador.</w:t>
      </w:r>
    </w:p>
    <w:p>
      <w:r>
        <w:rPr>
          <w:b/>
        </w:rPr>
        <w:t xml:space="preserve">Critério de aceite: </w:t>
      </w:r>
      <w:r>
        <w:t>Conferir percurso completo em 375, 768 e 1280 px, sem perda funcional ou rolagem horizontal indevida.</w:t>
      </w:r>
    </w:p>
    <w:p>
      <w:pPr>
        <w:pStyle w:val="Heading3"/>
      </w:pPr>
      <w:r>
        <w:t>RNF-02 — Acessibilidade</w:t>
      </w:r>
    </w:p>
    <w:p>
      <w:pPr>
        <w:keepNext/>
      </w:pPr>
      <w:r>
        <w:t>Campos rotulados, foco visível, navegação por teclado, contraste adequado e alternativas textuais quando necessárias. WCAG 2.2 AA é referência técnica recomendada.</w:t>
      </w:r>
    </w:p>
    <w:p>
      <w:r>
        <w:rPr>
          <w:b/>
        </w:rPr>
        <w:t xml:space="preserve">Critério de aceite: </w:t>
      </w:r>
      <w:r>
        <w:t>Testar tarefas principais por teclado e inspecionar semântica e contraste; registrar problemas e correções.</w:t>
      </w:r>
    </w:p>
    <w:p>
      <w:pPr>
        <w:pStyle w:val="Heading3"/>
      </w:pPr>
      <w:r>
        <w:t>RNF-03 — Clareza e usabilidade</w:t>
      </w:r>
    </w:p>
    <w:p>
      <w:pPr>
        <w:keepNext/>
      </w:pPr>
      <w:r>
        <w:t>Textos e orientações acessíveis a usuários com diferentes níveis de familiaridade tecnológica.</w:t>
      </w:r>
    </w:p>
    <w:p>
      <w:r>
        <w:rPr>
          <w:b/>
        </w:rPr>
        <w:t xml:space="preserve">Critério de aceite: </w:t>
      </w:r>
      <w:r>
        <w:t>Testes de percurso com participantes representativos registram dificuldades.</w:t>
      </w:r>
    </w:p>
    <w:p>
      <w:pPr>
        <w:pStyle w:val="Heading3"/>
      </w:pPr>
      <w:r>
        <w:t>RNF-04 — Privacidade e minimização</w:t>
      </w:r>
    </w:p>
    <w:p>
      <w:pPr>
        <w:keepNext/>
      </w:pPr>
      <w:r>
        <w:t>Coletar apenas nome, e-mail, credencial e respostas necessárias à aplicação. Informar finalidade, retenção, acesso e exclusão antes do piloto.</w:t>
      </w:r>
    </w:p>
    <w:p>
      <w:r>
        <w:rPr>
          <w:b/>
        </w:rPr>
        <w:t xml:space="preserve">Critério de aceite: </w:t>
      </w:r>
      <w:r>
        <w:t>Revisão da coleta e dos perfis de acesso; política e autorização institucional documentadas.</w:t>
      </w:r>
    </w:p>
    <w:p>
      <w:pPr>
        <w:pStyle w:val="Heading3"/>
      </w:pPr>
      <w:r>
        <w:t>RNF-05 — Segurança</w:t>
      </w:r>
    </w:p>
    <w:p>
      <w:pPr>
        <w:keepNext/>
      </w:pPr>
      <w:r>
        <w:t>Credenciais protegidas por hash robusto no backend; HTTPS na implantação; autorização no servidor, entradas validadas, SQL parametrizado e proteção de sessão.</w:t>
      </w:r>
    </w:p>
    <w:p>
      <w:r>
        <w:rPr>
          <w:b/>
        </w:rPr>
        <w:t xml:space="preserve">Critério de aceite: </w:t>
      </w:r>
      <w:r>
        <w:t>Testes de login/autorização e inspeção de que senhas em texto puro não são persistidas.</w:t>
      </w:r>
    </w:p>
    <w:p>
      <w:pPr>
        <w:pStyle w:val="Heading3"/>
      </w:pPr>
      <w:r>
        <w:t>RNF-06 — Integridade das avaliações</w:t>
      </w:r>
    </w:p>
    <w:p>
      <w:pPr>
        <w:keepNext/>
      </w:pPr>
      <w:r>
        <w:t>Respostas pertencem a questões do instrumento e alternativas da respectiva questão; instrumentos usados devem manter histórico.</w:t>
      </w:r>
    </w:p>
    <w:p>
      <w:r>
        <w:rPr>
          <w:b/>
        </w:rPr>
        <w:t xml:space="preserve">Critério de aceite: </w:t>
      </w:r>
      <w:r>
        <w:t>Testes de integridade e conferência de pontuação; tentativa concluída é imutável.</w:t>
      </w:r>
    </w:p>
    <w:p>
      <w:pPr>
        <w:pStyle w:val="Heading3"/>
      </w:pPr>
      <w:r>
        <w:t>RNF-07 — Proteção do feedback anônimo</w:t>
      </w:r>
    </w:p>
    <w:p>
      <w:pPr>
        <w:keepNext/>
      </w:pPr>
      <w:r>
        <w:t>A tabela não guarda usuário, tentativa, token de sessão ou horário exato do comentário. A aplicação também deve revisar logs, IP, cookies e telemetria.</w:t>
      </w:r>
    </w:p>
    <w:p>
      <w:r>
        <w:rPr>
          <w:b/>
        </w:rPr>
        <w:t xml:space="preserve">Critério de aceite: </w:t>
      </w:r>
      <w:r>
        <w:t>Inspeção do esquema PostgreSQL e dos serviços de submissão antes de informar anonimato aos participantes.</w:t>
      </w:r>
    </w:p>
    <w:p>
      <w:pPr>
        <w:pStyle w:val="Heading3"/>
      </w:pPr>
      <w:r>
        <w:t>RNF-08 — Desempenho e compatibilidade</w:t>
      </w:r>
    </w:p>
    <w:p>
      <w:pPr>
        <w:keepNext/>
      </w:pPr>
      <w:r>
        <w:t>Percurso fluido nas condições reais do local; funcionar nos navegadores atuais disponíveis. Metas numéricas após avaliação da infraestrutura.</w:t>
      </w:r>
    </w:p>
    <w:p>
      <w:r>
        <w:rPr>
          <w:b/>
        </w:rPr>
        <w:t xml:space="preserve">Critério de aceite: </w:t>
      </w:r>
      <w:r>
        <w:t>Teste com carga estimada para o piloto, navegador móvel e navegadores presentes no IBC.</w:t>
      </w:r>
    </w:p>
    <w:p>
      <w:pPr>
        <w:pStyle w:val="Heading3"/>
      </w:pPr>
      <w:r>
        <w:t>RNF-09 — Manutenibilidade e testes</w:t>
      </w:r>
    </w:p>
    <w:p>
      <w:pPr>
        <w:keepNext/>
      </w:pPr>
      <w:r>
        <w:t>Código versionado no GitHub, tarefas organizadas no Trello, desenvolvimento incremental e evidências de testes funcionais. A stack de aplicação deve seguir o README oficial.</w:t>
      </w:r>
    </w:p>
    <w:p>
      <w:r>
        <w:rPr>
          <w:b/>
        </w:rPr>
        <w:t xml:space="preserve">Critério de aceite: </w:t>
      </w:r>
      <w:r>
        <w:t>Fluxos críticos testados; versão do código identificável e correções impeditivas concluídas antes do piloto.</w:t>
      </w:r>
    </w:p>
    <w:p>
      <w:pPr>
        <w:pStyle w:val="Heading3"/>
      </w:pPr>
      <w:r>
        <w:t>RNF-10 — Interpretação responsável dos resultados</w:t>
      </w:r>
    </w:p>
    <w:p>
      <w:pPr>
        <w:keepNext/>
      </w:pPr>
      <w:r>
        <w:t>Comparar notas pré/pós com método e população documentados, sem afirmar causalidade somente pela variação de desempenho.</w:t>
      </w:r>
    </w:p>
    <w:p>
      <w:r>
        <w:rPr>
          <w:b/>
        </w:rPr>
        <w:t xml:space="preserve">Critério de aceite: </w:t>
      </w:r>
      <w:r>
        <w:t>Relatórios registram amostra, método de aplicação, resultados e limitações.</w:t>
      </w:r>
    </w:p>
    <w:p>
      <w:pPr>
        <w:pStyle w:val="Heading1"/>
      </w:pPr>
      <w:r>
        <w:t>6. Regras de negócio e decisões de engenharia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/>
          <w:tblHeader w:val="true"/>
        </w:trPr>
        <w:tc>
          <w:tcPr>
            <w:tcW w:type="dxa" w:w="1080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8424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sz w:val="18"/>
              </w:rPr>
              <w:t>RN-01</w:t>
            </w:r>
          </w:p>
        </w:tc>
        <w:tc>
          <w:tcPr>
            <w:tcW w:type="dxa" w:w="8424"/>
            <w:vAlign w:val="center"/>
          </w:tcPr>
          <w:p>
            <w:pPr>
              <w:spacing w:after="40"/>
            </w:pPr>
            <w:r>
              <w:rPr>
                <w:sz w:val="18"/>
              </w:rPr>
              <w:t>Pré-teste antecede os módulos e pós-teste sucede a etapa educativa. A equipe ainda deve validar se todos os cinco módulos serão obrigatórios.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sz w:val="18"/>
              </w:rPr>
              <w:t>RN-02</w:t>
            </w:r>
          </w:p>
        </w:tc>
        <w:tc>
          <w:tcPr>
            <w:tcW w:type="dxa" w:w="8424"/>
            <w:vAlign w:val="center"/>
          </w:tcPr>
          <w:p>
            <w:pPr>
              <w:spacing w:after="40"/>
            </w:pPr>
            <w:r>
              <w:rPr>
                <w:sz w:val="18"/>
              </w:rPr>
              <w:t>Pré e pós podem possuir questões diferentes, desde que avaliem as mesmas competências, utilizem escala equivalente e compartilhem grupo/versão de comparação.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sz w:val="18"/>
              </w:rPr>
              <w:t>RN-03</w:t>
            </w:r>
          </w:p>
        </w:tc>
        <w:tc>
          <w:tcPr>
            <w:tcW w:type="dxa" w:w="8424"/>
            <w:vAlign w:val="center"/>
          </w:tcPr>
          <w:p>
            <w:pPr>
              <w:spacing w:after="40"/>
            </w:pPr>
            <w:r>
              <w:rPr>
                <w:sz w:val="18"/>
              </w:rPr>
              <w:t>O esquema inicial PostgreSQL considera uma tentativa por participante por instrumento/versão; retentativas exigem revisão desta restrição e do relatório.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sz w:val="18"/>
              </w:rPr>
              <w:t>RN-04</w:t>
            </w:r>
          </w:p>
        </w:tc>
        <w:tc>
          <w:tcPr>
            <w:tcW w:type="dxa" w:w="8424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Questões publicadas e já utilizadas não devem ser alteradas retroativamente; criar uma versão nova.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sz w:val="18"/>
              </w:rPr>
              <w:t>RN-05</w:t>
            </w:r>
          </w:p>
        </w:tc>
        <w:tc>
          <w:tcPr>
            <w:tcW w:type="dxa" w:w="8424"/>
            <w:vAlign w:val="center"/>
          </w:tcPr>
          <w:p>
            <w:pPr>
              <w:spacing w:after="40"/>
            </w:pPr>
            <w:r>
              <w:rPr>
                <w:sz w:val="18"/>
              </w:rPr>
              <w:t>Só administradores autorizados gerenciam conteúdos, avaliações e consultam resultados individuais.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40"/>
            </w:pPr>
            <w:r>
              <w:rPr>
                <w:sz w:val="18"/>
              </w:rPr>
              <w:t>RN-06</w:t>
            </w:r>
          </w:p>
        </w:tc>
        <w:tc>
          <w:tcPr>
            <w:tcW w:type="dxa" w:w="8424"/>
            <w:vAlign w:val="center"/>
          </w:tcPr>
          <w:p>
            <w:pPr>
              <w:spacing w:after="40"/>
            </w:pPr>
            <w:r>
              <w:rPr>
                <w:sz w:val="18"/>
              </w:rPr>
              <w:t>O feedback é anônimo: não há chave estrangeira do comentário para usuário ou tentativa. Dados incluídos voluntariamente no texto e logs externos requerem controle.</w:t>
            </w:r>
          </w:p>
        </w:tc>
      </w:tr>
    </w:tbl>
    <w:p/>
    <w:p>
      <w:pPr>
        <w:pStyle w:val="Heading1"/>
      </w:pPr>
      <w:r>
        <w:t>7. Rastreabilidade resumida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  <w:tblHeader w:val="true"/>
        </w:trPr>
        <w:tc>
          <w:tcPr>
            <w:tcW w:type="dxa" w:w="2232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Finalidade da proposta</w:t>
            </w:r>
          </w:p>
        </w:tc>
        <w:tc>
          <w:tcPr>
            <w:tcW w:type="dxa" w:w="2160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Requisitos</w:t>
            </w:r>
          </w:p>
        </w:tc>
        <w:tc>
          <w:tcPr>
            <w:tcW w:type="dxa" w:w="5112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Persistência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8"/>
              </w:rPr>
              <w:t>Cadastro e autenticação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RF-01, RF-02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8"/>
              </w:rPr>
              <w:t>usuarios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8"/>
              </w:rPr>
              <w:t>Avaliação inicial/final e correção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RF-03, RF-06, RF-07, RF-11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questionarios, questoes, alternativas, questionario_questoes, tentativas, respostas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Conteúdos e percurso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RF-04, RF-05, RF-10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conteudos, acessos_conteudo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Comparação do aprendizado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RF-08, RF-12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8"/>
              </w:rPr>
              <w:t>vw_comparacao (cálculo de tentativas)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8"/>
              </w:rPr>
              <w:t>Percepção e melhoria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8"/>
              </w:rPr>
              <w:t>RF-09, RF-13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8"/>
              </w:rPr>
              <w:t>feedbacks (sem FK de identidade)</w:t>
            </w:r>
          </w:p>
        </w:tc>
      </w:tr>
    </w:tbl>
    <w:p/>
    <w:p>
      <w:pPr>
        <w:pStyle w:val="Heading1"/>
      </w:pPr>
      <w:r>
        <w:t>8. Cenários mínimos de validação</w:t>
      </w:r>
    </w:p>
    <w:p>
      <w:pPr>
        <w:pStyle w:val="ListBullet"/>
      </w:pPr>
      <w:r>
        <w:t>Participante cadastra conta com nome, e-mail e senha e efetua login.</w:t>
      </w:r>
    </w:p>
    <w:p>
      <w:pPr>
        <w:pStyle w:val="ListBullet"/>
      </w:pPr>
      <w:r>
        <w:t>Participante conclui o diagnóstico e não vê materiais não publicados.</w:t>
      </w:r>
    </w:p>
    <w:p>
      <w:pPr>
        <w:pStyle w:val="ListBullet"/>
      </w:pPr>
      <w:r>
        <w:t>Participante conclui módulos conforme regra de progressão vigente e realiza o pós-teste.</w:t>
      </w:r>
    </w:p>
    <w:p>
      <w:pPr>
        <w:pStyle w:val="ListBullet"/>
      </w:pPr>
      <w:r>
        <w:t>Duas provas válidas geram comparação apenas para a equipe autorizada.</w:t>
      </w:r>
    </w:p>
    <w:p>
      <w:pPr>
        <w:pStyle w:val="ListBullet"/>
      </w:pPr>
      <w:r>
        <w:t>Mensagem de feedback é salva sem vínculo com a conta.</w:t>
      </w:r>
    </w:p>
    <w:p>
      <w:pPr>
        <w:pStyle w:val="ListBullet"/>
      </w:pPr>
      <w:r>
        <w:t>Administrador cria materiais e novas versões de avaliações sem alterar tentativas históricas.</w:t>
      </w:r>
    </w:p>
    <w:p>
      <w:pPr>
        <w:pStyle w:val="ListBullet"/>
      </w:pPr>
      <w:r>
        <w:t>Fluxo completo é testado em navegador móvel e computador representativo do IBC.</w:t>
      </w:r>
    </w:p>
    <w:p>
      <w:pPr>
        <w:pStyle w:val="Heading1"/>
      </w:pPr>
      <w:r>
        <w:t>9. Limites e providências antes do piloto</w:t>
      </w:r>
    </w:p>
    <w:p>
      <w:r>
        <w:t>Fora do escopo: certificados, gamificação, chatbot, detecção real de ameaças e integração com recursos externos do IBC. Antes de aplicar a solução com participantes, confirmar a regra de progressão, a equivalência das avaliações, retentativas, tratamento de dados, autorização da instituição e medidas adicionais caso haja menores de idade. Este documento especifica o produto; não atesta implementação nem validação com usuários.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95" w:bottom="1066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D69"/>
        <w:sz w:val="16"/>
      </w:rPr>
      <w:t>Requisitos  •  28/09/2026  •  Versão técnica 1.0 (revisão de equipe)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46F82"/>
        <w:sz w:val="16"/>
      </w:rPr>
      <w:t>WEB GUARDA  |  PROJETO DE EXTENSÃO IV  |  EQUIPE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631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46F8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46F8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46F8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314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