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21DDD7" w14:textId="004F8676" w:rsidR="009B5F67" w:rsidRDefault="00627BA5" w:rsidP="009B5F67">
      <w:pPr>
        <w:spacing w:line="240" w:lineRule="auto"/>
        <w:jc w:val="center"/>
        <w:rPr>
          <w:rFonts w:ascii="Times New Roman" w:hAnsi="Times New Roman" w:cs="Times New Roman"/>
          <w:b/>
          <w:bCs/>
          <w:lang w:val="en-US"/>
        </w:rPr>
      </w:pPr>
      <w:r w:rsidRPr="009B717F">
        <w:rPr>
          <w:rFonts w:ascii="Times New Roman" w:hAnsi="Times New Roman" w:cs="Times New Roman"/>
          <w:b/>
          <w:bCs/>
          <w:lang w:val="en-US"/>
        </w:rPr>
        <w:t>APPENDIX F</w:t>
      </w:r>
    </w:p>
    <w:p w14:paraId="2EAECC5D" w14:textId="3F2C7104" w:rsidR="00627BA5" w:rsidRPr="009B717F" w:rsidRDefault="009B5F67" w:rsidP="000B6801">
      <w:pPr>
        <w:spacing w:line="240" w:lineRule="auto"/>
        <w:rPr>
          <w:rFonts w:ascii="Times New Roman" w:hAnsi="Times New Roman" w:cs="Times New Roman"/>
          <w:b/>
          <w:bCs/>
          <w:lang w:val="en-US"/>
        </w:rPr>
      </w:pPr>
      <w:r>
        <w:rPr>
          <w:rFonts w:ascii="Times New Roman" w:hAnsi="Times New Roman" w:cs="Times New Roman"/>
          <w:b/>
          <w:bCs/>
          <w:lang w:val="en-US"/>
        </w:rPr>
        <w:t xml:space="preserve">Chart 8. </w:t>
      </w:r>
      <w:r w:rsidR="000B6801" w:rsidRPr="000B6801">
        <w:rPr>
          <w:rFonts w:ascii="Times New Roman" w:hAnsi="Times New Roman" w:cs="Times New Roman"/>
          <w:b/>
          <w:bCs/>
          <w:lang w:val="en-US"/>
        </w:rPr>
        <w:t>Field research notes</w:t>
      </w:r>
      <w:r>
        <w:rPr>
          <w:rFonts w:ascii="Times New Roman" w:hAnsi="Times New Roman" w:cs="Times New Roman"/>
          <w:b/>
          <w:bCs/>
          <w:lang w:val="en-US"/>
        </w:rPr>
        <w:t xml:space="preserve"> (</w:t>
      </w:r>
      <w:r w:rsidR="007D4239">
        <w:rPr>
          <w:rFonts w:ascii="Times New Roman" w:hAnsi="Times New Roman" w:cs="Times New Roman"/>
          <w:b/>
          <w:bCs/>
          <w:lang w:val="en-US"/>
        </w:rPr>
        <w:t xml:space="preserve">for </w:t>
      </w:r>
      <w:r>
        <w:rPr>
          <w:rFonts w:ascii="Times New Roman" w:hAnsi="Times New Roman" w:cs="Times New Roman"/>
          <w:b/>
          <w:bCs/>
          <w:lang w:val="en-US"/>
        </w:rPr>
        <w:t xml:space="preserve">maturity model </w:t>
      </w:r>
      <w:r w:rsidR="005D6AF2">
        <w:rPr>
          <w:rFonts w:ascii="Times New Roman" w:hAnsi="Times New Roman" w:cs="Times New Roman"/>
          <w:b/>
          <w:bCs/>
          <w:lang w:val="en-US"/>
        </w:rPr>
        <w:t>adjustments</w:t>
      </w:r>
      <w:r>
        <w:rPr>
          <w:rFonts w:ascii="Times New Roman" w:hAnsi="Times New Roman" w:cs="Times New Roman"/>
          <w:b/>
          <w:bCs/>
          <w:lang w:val="en-US"/>
        </w:rPr>
        <w:t>)</w:t>
      </w:r>
    </w:p>
    <w:tbl>
      <w:tblPr>
        <w:tblW w:w="137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4A0" w:firstRow="1" w:lastRow="0" w:firstColumn="1" w:lastColumn="0" w:noHBand="0" w:noVBand="1"/>
      </w:tblPr>
      <w:tblGrid>
        <w:gridCol w:w="1555"/>
        <w:gridCol w:w="3047"/>
        <w:gridCol w:w="3047"/>
        <w:gridCol w:w="3047"/>
        <w:gridCol w:w="3048"/>
      </w:tblGrid>
      <w:tr w:rsidR="00F86EB7" w:rsidRPr="00627BA5" w14:paraId="5427ADC7" w14:textId="6923F9F1" w:rsidTr="00F86EB7">
        <w:trPr>
          <w:trHeight w:val="504"/>
        </w:trPr>
        <w:tc>
          <w:tcPr>
            <w:tcW w:w="1555" w:type="dxa"/>
            <w:shd w:val="clear" w:color="auto" w:fill="auto"/>
            <w:noWrap/>
            <w:vAlign w:val="center"/>
            <w:hideMark/>
          </w:tcPr>
          <w:p w14:paraId="4B0F520B" w14:textId="77777777" w:rsidR="00F86EB7" w:rsidRPr="00627BA5" w:rsidRDefault="00F86EB7" w:rsidP="00F86EB7">
            <w:pPr>
              <w:spacing w:after="0" w:line="240" w:lineRule="auto"/>
              <w:jc w:val="center"/>
              <w:rPr>
                <w:rFonts w:ascii="Times New Roman" w:eastAsia="Times New Roman" w:hAnsi="Times New Roman" w:cs="Times New Roman"/>
                <w:b/>
                <w:bCs/>
                <w:color w:val="000000"/>
                <w:kern w:val="0"/>
                <w:lang w:eastAsia="pt-BR"/>
                <w14:ligatures w14:val="none"/>
              </w:rPr>
            </w:pPr>
            <w:r w:rsidRPr="00627BA5">
              <w:rPr>
                <w:rFonts w:ascii="Times New Roman" w:eastAsia="Times New Roman" w:hAnsi="Times New Roman" w:cs="Times New Roman"/>
                <w:b/>
                <w:bCs/>
                <w:color w:val="000000"/>
                <w:kern w:val="0"/>
                <w:lang w:eastAsia="pt-BR"/>
                <w14:ligatures w14:val="none"/>
              </w:rPr>
              <w:t xml:space="preserve"># </w:t>
            </w:r>
            <w:proofErr w:type="spellStart"/>
            <w:r w:rsidRPr="00627BA5">
              <w:rPr>
                <w:rFonts w:ascii="Times New Roman" w:eastAsia="Times New Roman" w:hAnsi="Times New Roman" w:cs="Times New Roman"/>
                <w:b/>
                <w:bCs/>
                <w:color w:val="000000"/>
                <w:kern w:val="0"/>
                <w:lang w:eastAsia="pt-BR"/>
                <w14:ligatures w14:val="none"/>
              </w:rPr>
              <w:t>Evaluation</w:t>
            </w:r>
            <w:proofErr w:type="spellEnd"/>
            <w:r w:rsidRPr="00627BA5">
              <w:rPr>
                <w:rFonts w:ascii="Times New Roman" w:eastAsia="Times New Roman" w:hAnsi="Times New Roman" w:cs="Times New Roman"/>
                <w:b/>
                <w:bCs/>
                <w:color w:val="000000"/>
                <w:kern w:val="0"/>
                <w:lang w:eastAsia="pt-BR"/>
                <w14:ligatures w14:val="none"/>
              </w:rPr>
              <w:t xml:space="preserve"> </w:t>
            </w:r>
            <w:proofErr w:type="spellStart"/>
            <w:r w:rsidRPr="00627BA5">
              <w:rPr>
                <w:rFonts w:ascii="Times New Roman" w:eastAsia="Times New Roman" w:hAnsi="Times New Roman" w:cs="Times New Roman"/>
                <w:b/>
                <w:bCs/>
                <w:color w:val="000000"/>
                <w:kern w:val="0"/>
                <w:lang w:eastAsia="pt-BR"/>
                <w14:ligatures w14:val="none"/>
              </w:rPr>
              <w:t>Question</w:t>
            </w:r>
            <w:proofErr w:type="spellEnd"/>
          </w:p>
        </w:tc>
        <w:tc>
          <w:tcPr>
            <w:tcW w:w="3047" w:type="dxa"/>
          </w:tcPr>
          <w:p w14:paraId="5251EA4E" w14:textId="77777777" w:rsidR="00F86EB7" w:rsidRPr="00627BA5" w:rsidRDefault="00F86EB7" w:rsidP="00F86EB7">
            <w:pPr>
              <w:spacing w:after="0" w:line="240" w:lineRule="auto"/>
              <w:jc w:val="center"/>
              <w:rPr>
                <w:rFonts w:ascii="Times New Roman" w:eastAsia="Times New Roman" w:hAnsi="Times New Roman" w:cs="Times New Roman"/>
                <w:b/>
                <w:bCs/>
                <w:color w:val="000000"/>
                <w:kern w:val="0"/>
                <w:lang w:eastAsia="pt-BR"/>
                <w14:ligatures w14:val="none"/>
              </w:rPr>
            </w:pPr>
            <w:proofErr w:type="spellStart"/>
            <w:r w:rsidRPr="00627BA5">
              <w:rPr>
                <w:rFonts w:ascii="Times New Roman" w:eastAsia="Times New Roman" w:hAnsi="Times New Roman" w:cs="Times New Roman"/>
                <w:b/>
                <w:bCs/>
                <w:color w:val="000000"/>
                <w:kern w:val="0"/>
                <w:lang w:eastAsia="pt-BR"/>
                <w14:ligatures w14:val="none"/>
              </w:rPr>
              <w:t>State</w:t>
            </w:r>
            <w:proofErr w:type="spellEnd"/>
          </w:p>
          <w:p w14:paraId="4C179199" w14:textId="2B96892E" w:rsidR="00F86EB7" w:rsidRPr="00627BA5" w:rsidRDefault="00F86EB7" w:rsidP="00F86EB7">
            <w:pPr>
              <w:spacing w:after="0" w:line="240" w:lineRule="auto"/>
              <w:jc w:val="center"/>
              <w:rPr>
                <w:rFonts w:ascii="Times New Roman" w:eastAsia="Times New Roman" w:hAnsi="Times New Roman" w:cs="Times New Roman"/>
                <w:b/>
                <w:bCs/>
                <w:color w:val="000000"/>
                <w:kern w:val="0"/>
                <w:lang w:eastAsia="pt-BR"/>
                <w14:ligatures w14:val="none"/>
              </w:rPr>
            </w:pPr>
            <w:proofErr w:type="spellStart"/>
            <w:r w:rsidRPr="00627BA5">
              <w:rPr>
                <w:rFonts w:ascii="Times New Roman" w:eastAsia="Times New Roman" w:hAnsi="Times New Roman" w:cs="Times New Roman"/>
                <w:b/>
                <w:bCs/>
                <w:color w:val="000000"/>
                <w:kern w:val="0"/>
                <w:lang w:eastAsia="pt-BR"/>
                <w14:ligatures w14:val="none"/>
              </w:rPr>
              <w:t>Secretary</w:t>
            </w:r>
            <w:proofErr w:type="spellEnd"/>
          </w:p>
        </w:tc>
        <w:tc>
          <w:tcPr>
            <w:tcW w:w="3047" w:type="dxa"/>
            <w:shd w:val="clear" w:color="auto" w:fill="auto"/>
            <w:noWrap/>
            <w:vAlign w:val="center"/>
            <w:hideMark/>
          </w:tcPr>
          <w:p w14:paraId="25CB444B" w14:textId="70140BDA" w:rsidR="00F86EB7" w:rsidRPr="00627BA5" w:rsidRDefault="00F86EB7" w:rsidP="00F86EB7">
            <w:pPr>
              <w:spacing w:after="0" w:line="240" w:lineRule="auto"/>
              <w:jc w:val="center"/>
              <w:rPr>
                <w:rFonts w:ascii="Times New Roman" w:eastAsia="Times New Roman" w:hAnsi="Times New Roman" w:cs="Times New Roman"/>
                <w:b/>
                <w:bCs/>
                <w:color w:val="000000"/>
                <w:kern w:val="0"/>
                <w:lang w:eastAsia="pt-BR"/>
                <w14:ligatures w14:val="none"/>
              </w:rPr>
            </w:pPr>
            <w:r w:rsidRPr="00627BA5">
              <w:rPr>
                <w:rFonts w:ascii="Times New Roman" w:eastAsia="Times New Roman" w:hAnsi="Times New Roman" w:cs="Times New Roman"/>
                <w:b/>
                <w:bCs/>
                <w:color w:val="000000"/>
                <w:kern w:val="0"/>
                <w:lang w:eastAsia="pt-BR"/>
                <w14:ligatures w14:val="none"/>
              </w:rPr>
              <w:t xml:space="preserve">Municipal </w:t>
            </w:r>
            <w:proofErr w:type="spellStart"/>
            <w:r w:rsidRPr="00627BA5">
              <w:rPr>
                <w:rFonts w:ascii="Times New Roman" w:eastAsia="Times New Roman" w:hAnsi="Times New Roman" w:cs="Times New Roman"/>
                <w:b/>
                <w:bCs/>
                <w:color w:val="000000"/>
                <w:kern w:val="0"/>
                <w:lang w:eastAsia="pt-BR"/>
                <w14:ligatures w14:val="none"/>
              </w:rPr>
              <w:t>Secretary</w:t>
            </w:r>
            <w:proofErr w:type="spellEnd"/>
          </w:p>
        </w:tc>
        <w:tc>
          <w:tcPr>
            <w:tcW w:w="3047" w:type="dxa"/>
          </w:tcPr>
          <w:p w14:paraId="1B7288BB" w14:textId="28EA605E" w:rsidR="00F86EB7" w:rsidRDefault="00F86EB7" w:rsidP="00F86EB7">
            <w:pPr>
              <w:spacing w:after="0" w:line="240" w:lineRule="auto"/>
              <w:jc w:val="center"/>
              <w:rPr>
                <w:rFonts w:ascii="Times New Roman" w:eastAsia="Times New Roman" w:hAnsi="Times New Roman" w:cs="Times New Roman"/>
                <w:b/>
                <w:bCs/>
                <w:color w:val="000000"/>
                <w:kern w:val="0"/>
                <w:lang w:eastAsia="pt-BR"/>
                <w14:ligatures w14:val="none"/>
              </w:rPr>
            </w:pPr>
            <w:proofErr w:type="spellStart"/>
            <w:r>
              <w:rPr>
                <w:rFonts w:ascii="Times New Roman" w:eastAsia="Times New Roman" w:hAnsi="Times New Roman" w:cs="Times New Roman"/>
                <w:b/>
                <w:bCs/>
                <w:color w:val="000000"/>
                <w:kern w:val="0"/>
                <w:lang w:eastAsia="pt-BR"/>
                <w14:ligatures w14:val="none"/>
              </w:rPr>
              <w:t>Ministry</w:t>
            </w:r>
            <w:proofErr w:type="spellEnd"/>
          </w:p>
          <w:p w14:paraId="6308F680" w14:textId="13F42263" w:rsidR="00F86EB7" w:rsidRPr="00627BA5" w:rsidRDefault="00F86EB7" w:rsidP="00F86EB7">
            <w:pPr>
              <w:spacing w:after="0" w:line="240" w:lineRule="auto"/>
              <w:jc w:val="center"/>
              <w:rPr>
                <w:rFonts w:ascii="Times New Roman" w:eastAsia="Times New Roman" w:hAnsi="Times New Roman" w:cs="Times New Roman"/>
                <w:b/>
                <w:bCs/>
                <w:color w:val="000000"/>
                <w:kern w:val="0"/>
                <w:lang w:eastAsia="pt-BR"/>
                <w14:ligatures w14:val="none"/>
              </w:rPr>
            </w:pPr>
            <w:r>
              <w:rPr>
                <w:rFonts w:ascii="Times New Roman" w:eastAsia="Times New Roman" w:hAnsi="Times New Roman" w:cs="Times New Roman"/>
                <w:b/>
                <w:bCs/>
                <w:color w:val="000000"/>
                <w:kern w:val="0"/>
                <w:lang w:eastAsia="pt-BR"/>
                <w14:ligatures w14:val="none"/>
              </w:rPr>
              <w:t>1</w:t>
            </w:r>
          </w:p>
        </w:tc>
        <w:tc>
          <w:tcPr>
            <w:tcW w:w="3048" w:type="dxa"/>
          </w:tcPr>
          <w:p w14:paraId="1476FD4A" w14:textId="427FBF81" w:rsidR="00F86EB7" w:rsidRDefault="00F86EB7" w:rsidP="00F86EB7">
            <w:pPr>
              <w:spacing w:after="0" w:line="240" w:lineRule="auto"/>
              <w:jc w:val="center"/>
              <w:rPr>
                <w:rFonts w:ascii="Times New Roman" w:eastAsia="Times New Roman" w:hAnsi="Times New Roman" w:cs="Times New Roman"/>
                <w:b/>
                <w:bCs/>
                <w:color w:val="000000"/>
                <w:kern w:val="0"/>
                <w:lang w:eastAsia="pt-BR"/>
                <w14:ligatures w14:val="none"/>
              </w:rPr>
            </w:pPr>
            <w:proofErr w:type="spellStart"/>
            <w:r>
              <w:rPr>
                <w:rFonts w:ascii="Times New Roman" w:eastAsia="Times New Roman" w:hAnsi="Times New Roman" w:cs="Times New Roman"/>
                <w:b/>
                <w:bCs/>
                <w:color w:val="000000"/>
                <w:kern w:val="0"/>
                <w:lang w:eastAsia="pt-BR"/>
                <w14:ligatures w14:val="none"/>
              </w:rPr>
              <w:t>Ministry</w:t>
            </w:r>
            <w:proofErr w:type="spellEnd"/>
          </w:p>
          <w:p w14:paraId="24387C47" w14:textId="416A5D82" w:rsidR="00F86EB7" w:rsidRPr="00627BA5" w:rsidRDefault="00F86EB7" w:rsidP="00F86EB7">
            <w:pPr>
              <w:spacing w:after="0" w:line="240" w:lineRule="auto"/>
              <w:jc w:val="center"/>
              <w:rPr>
                <w:rFonts w:ascii="Times New Roman" w:eastAsia="Times New Roman" w:hAnsi="Times New Roman" w:cs="Times New Roman"/>
                <w:b/>
                <w:bCs/>
                <w:color w:val="000000"/>
                <w:kern w:val="0"/>
                <w:lang w:eastAsia="pt-BR"/>
                <w14:ligatures w14:val="none"/>
              </w:rPr>
            </w:pPr>
            <w:r>
              <w:rPr>
                <w:rFonts w:ascii="Times New Roman" w:eastAsia="Times New Roman" w:hAnsi="Times New Roman" w:cs="Times New Roman"/>
                <w:b/>
                <w:bCs/>
                <w:color w:val="000000"/>
                <w:kern w:val="0"/>
                <w:lang w:eastAsia="pt-BR"/>
                <w14:ligatures w14:val="none"/>
              </w:rPr>
              <w:t>2</w:t>
            </w:r>
          </w:p>
        </w:tc>
      </w:tr>
      <w:tr w:rsidR="00F86EB7" w:rsidRPr="00FF6333" w14:paraId="25AEC81B" w14:textId="26046E96" w:rsidTr="00F86EB7">
        <w:trPr>
          <w:trHeight w:val="288"/>
        </w:trPr>
        <w:tc>
          <w:tcPr>
            <w:tcW w:w="1555" w:type="dxa"/>
            <w:shd w:val="clear" w:color="auto" w:fill="auto"/>
            <w:noWrap/>
            <w:vAlign w:val="center"/>
            <w:hideMark/>
          </w:tcPr>
          <w:p w14:paraId="1142862F" w14:textId="77777777" w:rsidR="00F86EB7" w:rsidRPr="00627BA5" w:rsidRDefault="00F86EB7" w:rsidP="00F86EB7">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1</w:t>
            </w:r>
          </w:p>
        </w:tc>
        <w:tc>
          <w:tcPr>
            <w:tcW w:w="3047" w:type="dxa"/>
          </w:tcPr>
          <w:p w14:paraId="1845BB27" w14:textId="40982D2F" w:rsidR="00F86EB7" w:rsidRPr="007B05A2"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F86EB7">
              <w:rPr>
                <w:rFonts w:ascii="Times New Roman" w:eastAsia="Times New Roman" w:hAnsi="Times New Roman" w:cs="Times New Roman"/>
                <w:color w:val="000000"/>
                <w:kern w:val="0"/>
                <w:lang w:val="en-US" w:eastAsia="pt-BR"/>
                <w14:ligatures w14:val="none"/>
              </w:rPr>
              <w:t xml:space="preserve">Since the </w:t>
            </w:r>
            <w:r>
              <w:rPr>
                <w:rFonts w:ascii="Times New Roman" w:eastAsia="Times New Roman" w:hAnsi="Times New Roman" w:cs="Times New Roman"/>
                <w:color w:val="000000"/>
                <w:kern w:val="0"/>
                <w:lang w:val="en-US" w:eastAsia="pt-BR"/>
                <w14:ligatures w14:val="none"/>
              </w:rPr>
              <w:t>question</w:t>
            </w:r>
            <w:r w:rsidRPr="00F86EB7">
              <w:rPr>
                <w:rFonts w:ascii="Times New Roman" w:eastAsia="Times New Roman" w:hAnsi="Times New Roman" w:cs="Times New Roman"/>
                <w:color w:val="000000"/>
                <w:kern w:val="0"/>
                <w:lang w:val="en-US" w:eastAsia="pt-BR"/>
                <w14:ligatures w14:val="none"/>
              </w:rPr>
              <w:t xml:space="preserve"> highlights a 2nd line unit, the question could be asked after the 3rd line item. Check the possibility of changing the order of items in the model spreadsheet. Insert the expression "2nd line" in the evaluation element.</w:t>
            </w:r>
          </w:p>
        </w:tc>
        <w:tc>
          <w:tcPr>
            <w:tcW w:w="3047" w:type="dxa"/>
            <w:shd w:val="clear" w:color="auto" w:fill="auto"/>
            <w:noWrap/>
          </w:tcPr>
          <w:p w14:paraId="40227937" w14:textId="3F396789"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7B05A2">
              <w:rPr>
                <w:rFonts w:ascii="Times New Roman" w:eastAsia="Times New Roman" w:hAnsi="Times New Roman" w:cs="Times New Roman"/>
                <w:color w:val="000000"/>
                <w:kern w:val="0"/>
                <w:lang w:val="en-US" w:eastAsia="pt-BR"/>
                <w14:ligatures w14:val="none"/>
              </w:rPr>
              <w:t>Insert into the model, prior to the discussion about the internal audit unit (3rd line), to differentiate from the actions of the 2nd line unit based on this discussion. The differentiation for maturity level 4 seems appropriate.</w:t>
            </w:r>
          </w:p>
        </w:tc>
        <w:tc>
          <w:tcPr>
            <w:tcW w:w="3047" w:type="dxa"/>
          </w:tcPr>
          <w:p w14:paraId="241A80AC" w14:textId="074250CB"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c>
          <w:tcPr>
            <w:tcW w:w="3048" w:type="dxa"/>
          </w:tcPr>
          <w:p w14:paraId="13132C37" w14:textId="358D42A4"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r>
      <w:tr w:rsidR="00F86EB7" w:rsidRPr="009B5F67" w14:paraId="69560C1E" w14:textId="6193E48A" w:rsidTr="00F86EB7">
        <w:trPr>
          <w:trHeight w:val="288"/>
        </w:trPr>
        <w:tc>
          <w:tcPr>
            <w:tcW w:w="1555" w:type="dxa"/>
            <w:shd w:val="clear" w:color="auto" w:fill="auto"/>
            <w:noWrap/>
            <w:vAlign w:val="center"/>
            <w:hideMark/>
          </w:tcPr>
          <w:p w14:paraId="3D3F749F" w14:textId="77777777" w:rsidR="00F86EB7" w:rsidRPr="00627BA5" w:rsidRDefault="00F86EB7" w:rsidP="00F86EB7">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2</w:t>
            </w:r>
          </w:p>
        </w:tc>
        <w:tc>
          <w:tcPr>
            <w:tcW w:w="3047" w:type="dxa"/>
          </w:tcPr>
          <w:p w14:paraId="42FEFED5" w14:textId="378CBC13" w:rsidR="00F86EB7" w:rsidRPr="007B05A2" w:rsidRDefault="00724880"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724880">
              <w:rPr>
                <w:rFonts w:ascii="Times New Roman" w:eastAsia="Times New Roman" w:hAnsi="Times New Roman" w:cs="Times New Roman"/>
                <w:color w:val="000000"/>
                <w:kern w:val="0"/>
                <w:lang w:val="en-US" w:eastAsia="pt-BR"/>
                <w14:ligatures w14:val="none"/>
              </w:rPr>
              <w:t>This item should be placed in sequence after the previous item of the Integrity Management Unit. Thus, if the position of the previous item changes.</w:t>
            </w:r>
          </w:p>
        </w:tc>
        <w:tc>
          <w:tcPr>
            <w:tcW w:w="3047" w:type="dxa"/>
            <w:shd w:val="clear" w:color="auto" w:fill="auto"/>
            <w:noWrap/>
          </w:tcPr>
          <w:p w14:paraId="4669D62C" w14:textId="46298C7A"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7B05A2">
              <w:rPr>
                <w:rFonts w:ascii="Times New Roman" w:eastAsia="Times New Roman" w:hAnsi="Times New Roman" w:cs="Times New Roman"/>
                <w:color w:val="000000"/>
                <w:kern w:val="0"/>
                <w:lang w:val="en-US" w:eastAsia="pt-BR"/>
                <w14:ligatures w14:val="none"/>
              </w:rPr>
              <w:t>The discussion about risk management for the Integrity Plan was conducted assertively, indicating the maintenance of this criterion to qualify for maturity level 4.</w:t>
            </w:r>
          </w:p>
        </w:tc>
        <w:tc>
          <w:tcPr>
            <w:tcW w:w="3047" w:type="dxa"/>
          </w:tcPr>
          <w:p w14:paraId="18EB92F9" w14:textId="1E48B89E"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c>
          <w:tcPr>
            <w:tcW w:w="3048" w:type="dxa"/>
          </w:tcPr>
          <w:p w14:paraId="01B36292" w14:textId="386F3B75"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r>
      <w:tr w:rsidR="00F86EB7" w:rsidRPr="009B5F67" w14:paraId="776969B4" w14:textId="59D925BF" w:rsidTr="00F86EB7">
        <w:trPr>
          <w:trHeight w:val="288"/>
        </w:trPr>
        <w:tc>
          <w:tcPr>
            <w:tcW w:w="1555" w:type="dxa"/>
            <w:shd w:val="clear" w:color="auto" w:fill="auto"/>
            <w:noWrap/>
            <w:vAlign w:val="center"/>
            <w:hideMark/>
          </w:tcPr>
          <w:p w14:paraId="251BBFFB" w14:textId="77777777" w:rsidR="00F86EB7" w:rsidRPr="00627BA5" w:rsidRDefault="00F86EB7" w:rsidP="00F86EB7">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3</w:t>
            </w:r>
          </w:p>
        </w:tc>
        <w:tc>
          <w:tcPr>
            <w:tcW w:w="3047" w:type="dxa"/>
          </w:tcPr>
          <w:p w14:paraId="7FBF1914" w14:textId="19E6713F" w:rsidR="00F86EB7" w:rsidRDefault="00724880"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724880">
              <w:rPr>
                <w:rFonts w:ascii="Times New Roman" w:eastAsia="Times New Roman" w:hAnsi="Times New Roman" w:cs="Times New Roman"/>
                <w:color w:val="000000"/>
                <w:kern w:val="0"/>
                <w:lang w:val="en-US" w:eastAsia="pt-BR"/>
                <w14:ligatures w14:val="none"/>
              </w:rPr>
              <w:t xml:space="preserve">This could be the first question on the spreadsheet. Insert the expression "3rd line" in the evaluation </w:t>
            </w:r>
            <w:r>
              <w:rPr>
                <w:rFonts w:ascii="Times New Roman" w:eastAsia="Times New Roman" w:hAnsi="Times New Roman" w:cs="Times New Roman"/>
                <w:color w:val="000000"/>
                <w:kern w:val="0"/>
                <w:lang w:val="en-US" w:eastAsia="pt-BR"/>
                <w14:ligatures w14:val="none"/>
              </w:rPr>
              <w:t>question</w:t>
            </w:r>
            <w:r w:rsidRPr="00724880">
              <w:rPr>
                <w:rFonts w:ascii="Times New Roman" w:eastAsia="Times New Roman" w:hAnsi="Times New Roman" w:cs="Times New Roman"/>
                <w:color w:val="000000"/>
                <w:kern w:val="0"/>
                <w:lang w:val="en-US" w:eastAsia="pt-BR"/>
                <w14:ligatures w14:val="none"/>
              </w:rPr>
              <w:t>.</w:t>
            </w:r>
          </w:p>
        </w:tc>
        <w:tc>
          <w:tcPr>
            <w:tcW w:w="3047" w:type="dxa"/>
            <w:shd w:val="clear" w:color="auto" w:fill="auto"/>
            <w:noWrap/>
          </w:tcPr>
          <w:p w14:paraId="34A0B4EF" w14:textId="4B831B67"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r>
              <w:rPr>
                <w:rFonts w:ascii="Times New Roman" w:eastAsia="Times New Roman" w:hAnsi="Times New Roman" w:cs="Times New Roman"/>
                <w:color w:val="000000"/>
                <w:kern w:val="0"/>
                <w:lang w:val="en-US" w:eastAsia="pt-BR"/>
                <w14:ligatures w14:val="none"/>
              </w:rPr>
              <w:t>For</w:t>
            </w:r>
            <w:r w:rsidRPr="007B05A2">
              <w:rPr>
                <w:rFonts w:ascii="Times New Roman" w:eastAsia="Times New Roman" w:hAnsi="Times New Roman" w:cs="Times New Roman"/>
                <w:color w:val="000000"/>
                <w:kern w:val="0"/>
                <w:lang w:val="en-US" w:eastAsia="pt-BR"/>
                <w14:ligatures w14:val="none"/>
              </w:rPr>
              <w:t xml:space="preserve"> the </w:t>
            </w:r>
            <w:r>
              <w:rPr>
                <w:rFonts w:ascii="Times New Roman" w:eastAsia="Times New Roman" w:hAnsi="Times New Roman" w:cs="Times New Roman"/>
                <w:color w:val="000000"/>
                <w:kern w:val="0"/>
                <w:lang w:val="en-US" w:eastAsia="pt-BR"/>
                <w14:ligatures w14:val="none"/>
              </w:rPr>
              <w:t>development</w:t>
            </w:r>
            <w:r w:rsidRPr="007B05A2">
              <w:rPr>
                <w:rFonts w:ascii="Times New Roman" w:eastAsia="Times New Roman" w:hAnsi="Times New Roman" w:cs="Times New Roman"/>
                <w:color w:val="000000"/>
                <w:kern w:val="0"/>
                <w:lang w:val="en-US" w:eastAsia="pt-BR"/>
                <w14:ligatures w14:val="none"/>
              </w:rPr>
              <w:t xml:space="preserve"> of the Manual, make it more explicit the implementation of risk management for specific contracts or for the contracting process as a whole. However, the change in the text of this item, made after the first application of the model, proved to be </w:t>
            </w:r>
            <w:r w:rsidRPr="007B05A2">
              <w:rPr>
                <w:rFonts w:ascii="Times New Roman" w:eastAsia="Times New Roman" w:hAnsi="Times New Roman" w:cs="Times New Roman"/>
                <w:color w:val="000000"/>
                <w:kern w:val="0"/>
                <w:lang w:val="en-US" w:eastAsia="pt-BR"/>
                <w14:ligatures w14:val="none"/>
              </w:rPr>
              <w:lastRenderedPageBreak/>
              <w:t>appropriate to make the discussion smoother.</w:t>
            </w:r>
          </w:p>
        </w:tc>
        <w:tc>
          <w:tcPr>
            <w:tcW w:w="3047" w:type="dxa"/>
          </w:tcPr>
          <w:p w14:paraId="5173A82B" w14:textId="31ABFFC6"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c>
          <w:tcPr>
            <w:tcW w:w="3048" w:type="dxa"/>
          </w:tcPr>
          <w:p w14:paraId="7A89FEC1" w14:textId="3C4EAF68"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r>
      <w:tr w:rsidR="00F86EB7" w:rsidRPr="009B5F67" w14:paraId="7EF21043" w14:textId="1AFF3850" w:rsidTr="00F86EB7">
        <w:trPr>
          <w:trHeight w:val="288"/>
        </w:trPr>
        <w:tc>
          <w:tcPr>
            <w:tcW w:w="1555" w:type="dxa"/>
            <w:shd w:val="clear" w:color="auto" w:fill="auto"/>
            <w:noWrap/>
            <w:vAlign w:val="center"/>
            <w:hideMark/>
          </w:tcPr>
          <w:p w14:paraId="2209195A" w14:textId="77777777" w:rsidR="00F86EB7" w:rsidRPr="00627BA5" w:rsidRDefault="00F86EB7" w:rsidP="00F86EB7">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4</w:t>
            </w:r>
          </w:p>
        </w:tc>
        <w:tc>
          <w:tcPr>
            <w:tcW w:w="3047" w:type="dxa"/>
          </w:tcPr>
          <w:p w14:paraId="580BDF91" w14:textId="2546CABD" w:rsidR="00F86EB7" w:rsidRPr="007B05A2" w:rsidRDefault="00724880"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724880">
              <w:rPr>
                <w:rFonts w:ascii="Times New Roman" w:eastAsia="Times New Roman" w:hAnsi="Times New Roman" w:cs="Times New Roman"/>
                <w:color w:val="000000"/>
                <w:kern w:val="0"/>
                <w:lang w:val="en-US" w:eastAsia="pt-BR"/>
                <w14:ligatures w14:val="none"/>
              </w:rPr>
              <w:t>Possibility of grouping this item with transparency items and placing it towards the end of the spreadsheet.</w:t>
            </w:r>
          </w:p>
        </w:tc>
        <w:tc>
          <w:tcPr>
            <w:tcW w:w="3047" w:type="dxa"/>
            <w:shd w:val="clear" w:color="auto" w:fill="auto"/>
            <w:noWrap/>
          </w:tcPr>
          <w:p w14:paraId="521E4804" w14:textId="61320C39"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7B05A2">
              <w:rPr>
                <w:rFonts w:ascii="Times New Roman" w:eastAsia="Times New Roman" w:hAnsi="Times New Roman" w:cs="Times New Roman"/>
                <w:color w:val="000000"/>
                <w:kern w:val="0"/>
                <w:lang w:val="en-US" w:eastAsia="pt-BR"/>
                <w14:ligatures w14:val="none"/>
              </w:rPr>
              <w:t>Start the model with this evaluation item (3rd line), followed by the discussion of the other 2nd line items.</w:t>
            </w:r>
          </w:p>
        </w:tc>
        <w:tc>
          <w:tcPr>
            <w:tcW w:w="3047" w:type="dxa"/>
          </w:tcPr>
          <w:p w14:paraId="00108567" w14:textId="57D4BE14"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4B6D34">
              <w:rPr>
                <w:rFonts w:ascii="Times New Roman" w:eastAsia="Times New Roman" w:hAnsi="Times New Roman" w:cs="Times New Roman"/>
                <w:color w:val="000000"/>
                <w:kern w:val="0"/>
                <w:lang w:val="en-US" w:eastAsia="pt-BR"/>
                <w14:ligatures w14:val="none"/>
              </w:rPr>
              <w:t>It was decided to maintain the publication in active transparency for maturity level 4, considering it as public information.</w:t>
            </w:r>
          </w:p>
        </w:tc>
        <w:tc>
          <w:tcPr>
            <w:tcW w:w="3048" w:type="dxa"/>
          </w:tcPr>
          <w:p w14:paraId="4C2014D3" w14:textId="0317C506"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9C27A2">
              <w:rPr>
                <w:rFonts w:ascii="Times New Roman" w:eastAsia="Times New Roman" w:hAnsi="Times New Roman" w:cs="Times New Roman"/>
                <w:color w:val="000000"/>
                <w:kern w:val="0"/>
                <w:lang w:val="en-US" w:eastAsia="pt-BR"/>
                <w14:ligatures w14:val="none"/>
              </w:rPr>
              <w:t xml:space="preserve">The discussion on Active Transparency of Risk Maps supports the decision to maintain, for the maturity level 4 of this </w:t>
            </w:r>
            <w:r>
              <w:rPr>
                <w:rFonts w:ascii="Times New Roman" w:eastAsia="Times New Roman" w:hAnsi="Times New Roman" w:cs="Times New Roman"/>
                <w:color w:val="000000"/>
                <w:kern w:val="0"/>
                <w:lang w:val="en-US" w:eastAsia="pt-BR"/>
                <w14:ligatures w14:val="none"/>
              </w:rPr>
              <w:t>question</w:t>
            </w:r>
            <w:r w:rsidRPr="009C27A2">
              <w:rPr>
                <w:rFonts w:ascii="Times New Roman" w:eastAsia="Times New Roman" w:hAnsi="Times New Roman" w:cs="Times New Roman"/>
                <w:color w:val="000000"/>
                <w:kern w:val="0"/>
                <w:lang w:val="en-US" w:eastAsia="pt-BR"/>
                <w14:ligatures w14:val="none"/>
              </w:rPr>
              <w:t xml:space="preserve">, </w:t>
            </w:r>
            <w:r>
              <w:rPr>
                <w:rFonts w:ascii="Times New Roman" w:eastAsia="Times New Roman" w:hAnsi="Times New Roman" w:cs="Times New Roman"/>
                <w:color w:val="000000"/>
                <w:kern w:val="0"/>
                <w:lang w:val="en-US" w:eastAsia="pt-BR"/>
                <w14:ligatures w14:val="none"/>
              </w:rPr>
              <w:t>its</w:t>
            </w:r>
            <w:r w:rsidRPr="009C27A2">
              <w:rPr>
                <w:rFonts w:ascii="Times New Roman" w:eastAsia="Times New Roman" w:hAnsi="Times New Roman" w:cs="Times New Roman"/>
                <w:color w:val="000000"/>
                <w:kern w:val="0"/>
                <w:lang w:val="en-US" w:eastAsia="pt-BR"/>
                <w14:ligatures w14:val="none"/>
              </w:rPr>
              <w:t xml:space="preserve"> publication in active transparency.</w:t>
            </w:r>
          </w:p>
        </w:tc>
      </w:tr>
      <w:tr w:rsidR="00F86EB7" w:rsidRPr="009B5F67" w14:paraId="7F7EC980" w14:textId="05CBD299" w:rsidTr="00F86EB7">
        <w:trPr>
          <w:trHeight w:val="288"/>
        </w:trPr>
        <w:tc>
          <w:tcPr>
            <w:tcW w:w="1555" w:type="dxa"/>
            <w:shd w:val="clear" w:color="auto" w:fill="auto"/>
            <w:noWrap/>
            <w:vAlign w:val="center"/>
            <w:hideMark/>
          </w:tcPr>
          <w:p w14:paraId="2766DD3E" w14:textId="77777777" w:rsidR="00F86EB7" w:rsidRPr="00627BA5" w:rsidRDefault="00F86EB7" w:rsidP="00F86EB7">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5</w:t>
            </w:r>
          </w:p>
        </w:tc>
        <w:tc>
          <w:tcPr>
            <w:tcW w:w="3047" w:type="dxa"/>
          </w:tcPr>
          <w:p w14:paraId="5E895587" w14:textId="6F1605E3" w:rsidR="00F86EB7" w:rsidRPr="007B05A2" w:rsidRDefault="00724880"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724880">
              <w:rPr>
                <w:rFonts w:ascii="Times New Roman" w:eastAsia="Times New Roman" w:hAnsi="Times New Roman" w:cs="Times New Roman"/>
                <w:color w:val="000000"/>
                <w:kern w:val="0"/>
                <w:lang w:val="en-US" w:eastAsia="pt-BR"/>
                <w14:ligatures w14:val="none"/>
              </w:rPr>
              <w:t xml:space="preserve">Possibility of grouping this </w:t>
            </w:r>
            <w:r>
              <w:rPr>
                <w:rFonts w:ascii="Times New Roman" w:eastAsia="Times New Roman" w:hAnsi="Times New Roman" w:cs="Times New Roman"/>
                <w:color w:val="000000"/>
                <w:kern w:val="0"/>
                <w:lang w:val="en-US" w:eastAsia="pt-BR"/>
                <w14:ligatures w14:val="none"/>
              </w:rPr>
              <w:t>question</w:t>
            </w:r>
            <w:r w:rsidRPr="00724880">
              <w:rPr>
                <w:rFonts w:ascii="Times New Roman" w:eastAsia="Times New Roman" w:hAnsi="Times New Roman" w:cs="Times New Roman"/>
                <w:color w:val="000000"/>
                <w:kern w:val="0"/>
                <w:lang w:val="en-US" w:eastAsia="pt-BR"/>
                <w14:ligatures w14:val="none"/>
              </w:rPr>
              <w:t xml:space="preserve"> with transparency </w:t>
            </w:r>
            <w:r>
              <w:rPr>
                <w:rFonts w:ascii="Times New Roman" w:eastAsia="Times New Roman" w:hAnsi="Times New Roman" w:cs="Times New Roman"/>
                <w:color w:val="000000"/>
                <w:kern w:val="0"/>
                <w:lang w:val="en-US" w:eastAsia="pt-BR"/>
                <w14:ligatures w14:val="none"/>
              </w:rPr>
              <w:t>questions</w:t>
            </w:r>
            <w:r w:rsidRPr="00724880">
              <w:rPr>
                <w:rFonts w:ascii="Times New Roman" w:eastAsia="Times New Roman" w:hAnsi="Times New Roman" w:cs="Times New Roman"/>
                <w:color w:val="000000"/>
                <w:kern w:val="0"/>
                <w:lang w:val="en-US" w:eastAsia="pt-BR"/>
                <w14:ligatures w14:val="none"/>
              </w:rPr>
              <w:t xml:space="preserve"> and placing it towards the end of the spreadsheet. As a broad preventive action, it could also be considered to impact the </w:t>
            </w:r>
            <w:r>
              <w:rPr>
                <w:rFonts w:ascii="Times New Roman" w:eastAsia="Times New Roman" w:hAnsi="Times New Roman" w:cs="Times New Roman"/>
                <w:color w:val="000000"/>
                <w:kern w:val="0"/>
                <w:lang w:val="en-US" w:eastAsia="pt-BR"/>
                <w14:ligatures w14:val="none"/>
              </w:rPr>
              <w:t>p</w:t>
            </w:r>
            <w:r w:rsidRPr="00724880">
              <w:rPr>
                <w:rFonts w:ascii="Times New Roman" w:eastAsia="Times New Roman" w:hAnsi="Times New Roman" w:cs="Times New Roman"/>
                <w:color w:val="000000"/>
                <w:kern w:val="0"/>
                <w:lang w:val="en-US" w:eastAsia="pt-BR"/>
                <w14:ligatures w14:val="none"/>
              </w:rPr>
              <w:t>lanning stage.</w:t>
            </w:r>
          </w:p>
        </w:tc>
        <w:tc>
          <w:tcPr>
            <w:tcW w:w="3047" w:type="dxa"/>
            <w:shd w:val="clear" w:color="auto" w:fill="auto"/>
            <w:noWrap/>
          </w:tcPr>
          <w:p w14:paraId="30425397" w14:textId="5A8C96FD"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7B05A2">
              <w:rPr>
                <w:rFonts w:ascii="Times New Roman" w:eastAsia="Times New Roman" w:hAnsi="Times New Roman" w:cs="Times New Roman"/>
                <w:color w:val="000000"/>
                <w:kern w:val="0"/>
                <w:lang w:val="en-US" w:eastAsia="pt-BR"/>
                <w14:ligatures w14:val="none"/>
              </w:rPr>
              <w:t>Despite acknowledging the current legal risk in the direct administration of disqualifying suppliers based on integrity risks, it was decided to maintain this possibility at maturity level 4, to indicate a new frontier with the possibility of jurisprudence change.</w:t>
            </w:r>
          </w:p>
        </w:tc>
        <w:tc>
          <w:tcPr>
            <w:tcW w:w="3047" w:type="dxa"/>
          </w:tcPr>
          <w:p w14:paraId="197AC270" w14:textId="472BD259"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4B6D34">
              <w:rPr>
                <w:rFonts w:ascii="Times New Roman" w:eastAsia="Times New Roman" w:hAnsi="Times New Roman" w:cs="Times New Roman"/>
                <w:color w:val="000000"/>
                <w:kern w:val="0"/>
                <w:lang w:val="en-US" w:eastAsia="pt-BR"/>
                <w14:ligatures w14:val="none"/>
              </w:rPr>
              <w:t xml:space="preserve">Despite the current legal risk, in the </w:t>
            </w:r>
            <w:r>
              <w:rPr>
                <w:rFonts w:ascii="Times New Roman" w:eastAsia="Times New Roman" w:hAnsi="Times New Roman" w:cs="Times New Roman"/>
                <w:color w:val="000000"/>
                <w:kern w:val="0"/>
                <w:lang w:val="en-US" w:eastAsia="pt-BR"/>
                <w14:ligatures w14:val="none"/>
              </w:rPr>
              <w:t>entities of public</w:t>
            </w:r>
            <w:r w:rsidRPr="004B6D34">
              <w:rPr>
                <w:rFonts w:ascii="Times New Roman" w:eastAsia="Times New Roman" w:hAnsi="Times New Roman" w:cs="Times New Roman"/>
                <w:color w:val="000000"/>
                <w:kern w:val="0"/>
                <w:lang w:val="en-US" w:eastAsia="pt-BR"/>
                <w14:ligatures w14:val="none"/>
              </w:rPr>
              <w:t xml:space="preserve"> administration, of disqualifying </w:t>
            </w:r>
            <w:r>
              <w:rPr>
                <w:rFonts w:ascii="Times New Roman" w:eastAsia="Times New Roman" w:hAnsi="Times New Roman" w:cs="Times New Roman"/>
                <w:color w:val="000000"/>
                <w:kern w:val="0"/>
                <w:lang w:val="en-US" w:eastAsia="pt-BR"/>
                <w14:ligatures w14:val="none"/>
              </w:rPr>
              <w:t>bidders</w:t>
            </w:r>
            <w:r w:rsidRPr="004B6D34">
              <w:rPr>
                <w:rFonts w:ascii="Times New Roman" w:eastAsia="Times New Roman" w:hAnsi="Times New Roman" w:cs="Times New Roman"/>
                <w:color w:val="000000"/>
                <w:kern w:val="0"/>
                <w:lang w:val="en-US" w:eastAsia="pt-BR"/>
                <w14:ligatures w14:val="none"/>
              </w:rPr>
              <w:t xml:space="preserve"> based on integrity risks, it was decided to maintain this possibility at maturity level 4, to indicate a new frontier with the possibility of changing jurisprudence</w:t>
            </w:r>
            <w:r>
              <w:rPr>
                <w:rFonts w:ascii="Times New Roman" w:eastAsia="Times New Roman" w:hAnsi="Times New Roman" w:cs="Times New Roman"/>
                <w:color w:val="000000"/>
                <w:kern w:val="0"/>
                <w:lang w:val="en-US" w:eastAsia="pt-BR"/>
                <w14:ligatures w14:val="none"/>
              </w:rPr>
              <w:t xml:space="preserve"> or norms</w:t>
            </w:r>
            <w:r w:rsidRPr="004B6D34">
              <w:rPr>
                <w:rFonts w:ascii="Times New Roman" w:eastAsia="Times New Roman" w:hAnsi="Times New Roman" w:cs="Times New Roman"/>
                <w:color w:val="000000"/>
                <w:kern w:val="0"/>
                <w:lang w:val="en-US" w:eastAsia="pt-BR"/>
                <w14:ligatures w14:val="none"/>
              </w:rPr>
              <w:t>.</w:t>
            </w:r>
          </w:p>
        </w:tc>
        <w:tc>
          <w:tcPr>
            <w:tcW w:w="3048" w:type="dxa"/>
          </w:tcPr>
          <w:p w14:paraId="775AF94B" w14:textId="2407CA5F"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r>
      <w:tr w:rsidR="00F86EB7" w:rsidRPr="009B5F67" w14:paraId="562CCB49" w14:textId="781A978C" w:rsidTr="00F86EB7">
        <w:trPr>
          <w:trHeight w:val="288"/>
        </w:trPr>
        <w:tc>
          <w:tcPr>
            <w:tcW w:w="1555" w:type="dxa"/>
            <w:shd w:val="clear" w:color="auto" w:fill="auto"/>
            <w:noWrap/>
            <w:vAlign w:val="center"/>
            <w:hideMark/>
          </w:tcPr>
          <w:p w14:paraId="3E0540BE" w14:textId="77777777" w:rsidR="00F86EB7" w:rsidRPr="00627BA5" w:rsidRDefault="00F86EB7" w:rsidP="00F86EB7">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6</w:t>
            </w:r>
          </w:p>
        </w:tc>
        <w:tc>
          <w:tcPr>
            <w:tcW w:w="3047" w:type="dxa"/>
          </w:tcPr>
          <w:p w14:paraId="6C011FC2" w14:textId="13FAC56E" w:rsidR="00F86EB7" w:rsidRDefault="00724880"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724880">
              <w:rPr>
                <w:rFonts w:ascii="Times New Roman" w:eastAsia="Times New Roman" w:hAnsi="Times New Roman" w:cs="Times New Roman"/>
                <w:color w:val="000000"/>
                <w:kern w:val="0"/>
                <w:lang w:val="en-US" w:eastAsia="pt-BR"/>
                <w14:ligatures w14:val="none"/>
              </w:rPr>
              <w:t xml:space="preserve">It is recommended to change the text presented at each level, aligning it with the texts of item 4 to provide a similar approach only in distinct stages. Change the order so that this item and item 4 come in sequence. With the possibility of arrangements such as participatory budgeting, it is </w:t>
            </w:r>
            <w:r w:rsidRPr="00724880">
              <w:rPr>
                <w:rFonts w:ascii="Times New Roman" w:eastAsia="Times New Roman" w:hAnsi="Times New Roman" w:cs="Times New Roman"/>
                <w:color w:val="000000"/>
                <w:kern w:val="0"/>
                <w:lang w:val="en-US" w:eastAsia="pt-BR"/>
                <w14:ligatures w14:val="none"/>
              </w:rPr>
              <w:lastRenderedPageBreak/>
              <w:t>relevant to characterize at level 4 that the participatory arrangement must impact specific contracts, indicating shared planning.</w:t>
            </w:r>
          </w:p>
        </w:tc>
        <w:tc>
          <w:tcPr>
            <w:tcW w:w="3047" w:type="dxa"/>
            <w:shd w:val="clear" w:color="auto" w:fill="auto"/>
            <w:noWrap/>
          </w:tcPr>
          <w:p w14:paraId="6A917BA2" w14:textId="55A31247"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r>
              <w:rPr>
                <w:rFonts w:ascii="Times New Roman" w:eastAsia="Times New Roman" w:hAnsi="Times New Roman" w:cs="Times New Roman"/>
                <w:color w:val="000000"/>
                <w:kern w:val="0"/>
                <w:lang w:val="en-US" w:eastAsia="pt-BR"/>
                <w14:ligatures w14:val="none"/>
              </w:rPr>
              <w:lastRenderedPageBreak/>
              <w:t>T</w:t>
            </w:r>
            <w:r w:rsidRPr="00974BD4">
              <w:rPr>
                <w:rFonts w:ascii="Times New Roman" w:eastAsia="Times New Roman" w:hAnsi="Times New Roman" w:cs="Times New Roman"/>
                <w:color w:val="000000"/>
                <w:kern w:val="0"/>
                <w:lang w:val="en-US" w:eastAsia="pt-BR"/>
                <w14:ligatures w14:val="none"/>
              </w:rPr>
              <w:t xml:space="preserve">here is the action of collecting information and classifying </w:t>
            </w:r>
            <w:r>
              <w:rPr>
                <w:rFonts w:ascii="Times New Roman" w:eastAsia="Times New Roman" w:hAnsi="Times New Roman" w:cs="Times New Roman"/>
                <w:color w:val="000000"/>
                <w:kern w:val="0"/>
                <w:lang w:val="en-US" w:eastAsia="pt-BR"/>
                <w14:ligatures w14:val="none"/>
              </w:rPr>
              <w:t>bidders</w:t>
            </w:r>
            <w:r w:rsidRPr="00974BD4">
              <w:rPr>
                <w:rFonts w:ascii="Times New Roman" w:eastAsia="Times New Roman" w:hAnsi="Times New Roman" w:cs="Times New Roman"/>
                <w:color w:val="000000"/>
                <w:kern w:val="0"/>
                <w:lang w:val="en-US" w:eastAsia="pt-BR"/>
                <w14:ligatures w14:val="none"/>
              </w:rPr>
              <w:t xml:space="preserve">, which appears in all four maturity levels, which can be confusing when one or the other occurs. Organize the texts of the maturity levels so that the lower levels discuss information collection with or </w:t>
            </w:r>
            <w:r w:rsidRPr="00974BD4">
              <w:rPr>
                <w:rFonts w:ascii="Times New Roman" w:eastAsia="Times New Roman" w:hAnsi="Times New Roman" w:cs="Times New Roman"/>
                <w:color w:val="000000"/>
                <w:kern w:val="0"/>
                <w:lang w:val="en-US" w:eastAsia="pt-BR"/>
                <w14:ligatures w14:val="none"/>
              </w:rPr>
              <w:lastRenderedPageBreak/>
              <w:t>without inquiries, and classify suppliers at level 4.</w:t>
            </w:r>
          </w:p>
        </w:tc>
        <w:tc>
          <w:tcPr>
            <w:tcW w:w="3047" w:type="dxa"/>
          </w:tcPr>
          <w:p w14:paraId="3A23C0FA" w14:textId="2864891B"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c>
          <w:tcPr>
            <w:tcW w:w="3048" w:type="dxa"/>
          </w:tcPr>
          <w:p w14:paraId="2F34C5E1" w14:textId="15097F47"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r>
      <w:tr w:rsidR="00F86EB7" w:rsidRPr="009B5F67" w14:paraId="390E3FF2" w14:textId="1698117F" w:rsidTr="00F86EB7">
        <w:trPr>
          <w:trHeight w:val="288"/>
        </w:trPr>
        <w:tc>
          <w:tcPr>
            <w:tcW w:w="1555" w:type="dxa"/>
            <w:shd w:val="clear" w:color="auto" w:fill="auto"/>
            <w:noWrap/>
            <w:vAlign w:val="center"/>
            <w:hideMark/>
          </w:tcPr>
          <w:p w14:paraId="0F7FA310" w14:textId="77777777" w:rsidR="00F86EB7" w:rsidRPr="00627BA5" w:rsidRDefault="00F86EB7" w:rsidP="00F86EB7">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7</w:t>
            </w:r>
          </w:p>
        </w:tc>
        <w:tc>
          <w:tcPr>
            <w:tcW w:w="3047" w:type="dxa"/>
          </w:tcPr>
          <w:p w14:paraId="75B555DC" w14:textId="01049B80" w:rsidR="00F86EB7" w:rsidRPr="00974BD4" w:rsidRDefault="00724880"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724880">
              <w:rPr>
                <w:rFonts w:ascii="Times New Roman" w:eastAsia="Times New Roman" w:hAnsi="Times New Roman" w:cs="Times New Roman"/>
                <w:color w:val="000000"/>
                <w:kern w:val="0"/>
                <w:lang w:val="en-US" w:eastAsia="pt-BR"/>
                <w14:ligatures w14:val="none"/>
              </w:rPr>
              <w:t xml:space="preserve">Reorder the </w:t>
            </w:r>
            <w:r>
              <w:rPr>
                <w:rFonts w:ascii="Times New Roman" w:eastAsia="Times New Roman" w:hAnsi="Times New Roman" w:cs="Times New Roman"/>
                <w:color w:val="000000"/>
                <w:kern w:val="0"/>
                <w:lang w:val="en-US" w:eastAsia="pt-BR"/>
                <w14:ligatures w14:val="none"/>
              </w:rPr>
              <w:t>question</w:t>
            </w:r>
            <w:r w:rsidRPr="00724880">
              <w:rPr>
                <w:rFonts w:ascii="Times New Roman" w:eastAsia="Times New Roman" w:hAnsi="Times New Roman" w:cs="Times New Roman"/>
                <w:color w:val="000000"/>
                <w:kern w:val="0"/>
                <w:lang w:val="en-US" w:eastAsia="pt-BR"/>
                <w14:ligatures w14:val="none"/>
              </w:rPr>
              <w:t xml:space="preserve"> in the spreadsheet so that it appears immediately before the items on accountability.</w:t>
            </w:r>
          </w:p>
        </w:tc>
        <w:tc>
          <w:tcPr>
            <w:tcW w:w="3047" w:type="dxa"/>
            <w:shd w:val="clear" w:color="auto" w:fill="auto"/>
            <w:noWrap/>
          </w:tcPr>
          <w:p w14:paraId="2E9F53BD" w14:textId="022C39E2"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974BD4">
              <w:rPr>
                <w:rFonts w:ascii="Times New Roman" w:eastAsia="Times New Roman" w:hAnsi="Times New Roman" w:cs="Times New Roman"/>
                <w:color w:val="000000"/>
                <w:kern w:val="0"/>
                <w:lang w:val="en-US" w:eastAsia="pt-BR"/>
                <w14:ligatures w14:val="none"/>
              </w:rPr>
              <w:t xml:space="preserve">Modify the text of the maturity levels to anticipate efforts to promote the implementation of Programs by </w:t>
            </w:r>
            <w:r>
              <w:rPr>
                <w:rFonts w:ascii="Times New Roman" w:eastAsia="Times New Roman" w:hAnsi="Times New Roman" w:cs="Times New Roman"/>
                <w:color w:val="000000"/>
                <w:kern w:val="0"/>
                <w:lang w:val="en-US" w:eastAsia="pt-BR"/>
                <w14:ligatures w14:val="none"/>
              </w:rPr>
              <w:t>bidders</w:t>
            </w:r>
            <w:r w:rsidRPr="00974BD4">
              <w:rPr>
                <w:rFonts w:ascii="Times New Roman" w:eastAsia="Times New Roman" w:hAnsi="Times New Roman" w:cs="Times New Roman"/>
                <w:color w:val="000000"/>
                <w:kern w:val="0"/>
                <w:lang w:val="en-US" w:eastAsia="pt-BR"/>
                <w14:ligatures w14:val="none"/>
              </w:rPr>
              <w:t xml:space="preserve"> as a maturity level above having nothing</w:t>
            </w:r>
            <w:r>
              <w:rPr>
                <w:rFonts w:ascii="Times New Roman" w:eastAsia="Times New Roman" w:hAnsi="Times New Roman" w:cs="Times New Roman"/>
                <w:color w:val="000000"/>
                <w:kern w:val="0"/>
                <w:lang w:val="en-US" w:eastAsia="pt-BR"/>
                <w14:ligatures w14:val="none"/>
              </w:rPr>
              <w:t xml:space="preserve"> (1)</w:t>
            </w:r>
            <w:r w:rsidRPr="00974BD4">
              <w:rPr>
                <w:rFonts w:ascii="Times New Roman" w:eastAsia="Times New Roman" w:hAnsi="Times New Roman" w:cs="Times New Roman"/>
                <w:color w:val="000000"/>
                <w:kern w:val="0"/>
                <w:lang w:val="en-US" w:eastAsia="pt-BR"/>
                <w14:ligatures w14:val="none"/>
              </w:rPr>
              <w:t>.</w:t>
            </w:r>
          </w:p>
        </w:tc>
        <w:tc>
          <w:tcPr>
            <w:tcW w:w="3047" w:type="dxa"/>
          </w:tcPr>
          <w:p w14:paraId="4089DCB8" w14:textId="0B147718"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c>
          <w:tcPr>
            <w:tcW w:w="3048" w:type="dxa"/>
          </w:tcPr>
          <w:p w14:paraId="62E3F6EC" w14:textId="543FAF88"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E54711">
              <w:rPr>
                <w:rFonts w:ascii="Times New Roman" w:eastAsia="Times New Roman" w:hAnsi="Times New Roman" w:cs="Times New Roman"/>
                <w:color w:val="000000"/>
                <w:kern w:val="0"/>
                <w:lang w:val="en-US" w:eastAsia="pt-BR"/>
                <w14:ligatures w14:val="none"/>
              </w:rPr>
              <w:t>It was decided to keep the item regarding the requirement of Integrity Programs.</w:t>
            </w:r>
          </w:p>
        </w:tc>
      </w:tr>
      <w:tr w:rsidR="00F86EB7" w:rsidRPr="009B5F67" w14:paraId="76CD6672" w14:textId="5E84A801" w:rsidTr="00F86EB7">
        <w:trPr>
          <w:trHeight w:val="288"/>
        </w:trPr>
        <w:tc>
          <w:tcPr>
            <w:tcW w:w="1555" w:type="dxa"/>
            <w:shd w:val="clear" w:color="auto" w:fill="auto"/>
            <w:noWrap/>
            <w:vAlign w:val="center"/>
            <w:hideMark/>
          </w:tcPr>
          <w:p w14:paraId="72B8065F" w14:textId="77777777" w:rsidR="00F86EB7" w:rsidRPr="00627BA5" w:rsidRDefault="00F86EB7" w:rsidP="00F86EB7">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8</w:t>
            </w:r>
          </w:p>
        </w:tc>
        <w:tc>
          <w:tcPr>
            <w:tcW w:w="3047" w:type="dxa"/>
          </w:tcPr>
          <w:p w14:paraId="02CCB3DB" w14:textId="2C5065D1" w:rsidR="00F86EB7" w:rsidRPr="00974BD4" w:rsidRDefault="00724880"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724880">
              <w:rPr>
                <w:rFonts w:ascii="Times New Roman" w:eastAsia="Times New Roman" w:hAnsi="Times New Roman" w:cs="Times New Roman"/>
                <w:color w:val="000000"/>
                <w:kern w:val="0"/>
                <w:lang w:val="en-US" w:eastAsia="pt-BR"/>
                <w14:ligatures w14:val="none"/>
              </w:rPr>
              <w:t>Change the model by placing "open data" instead of "open format" at level 4. Modify the text of levels 2 and 3 to explicitly state that the publication of the Annual Procurement Plan would be sufficient only for maturity level 2.</w:t>
            </w:r>
          </w:p>
        </w:tc>
        <w:tc>
          <w:tcPr>
            <w:tcW w:w="3047" w:type="dxa"/>
            <w:shd w:val="clear" w:color="auto" w:fill="auto"/>
            <w:noWrap/>
          </w:tcPr>
          <w:p w14:paraId="18D95417" w14:textId="48ABD30F"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974BD4">
              <w:rPr>
                <w:rFonts w:ascii="Times New Roman" w:eastAsia="Times New Roman" w:hAnsi="Times New Roman" w:cs="Times New Roman"/>
                <w:color w:val="000000"/>
                <w:kern w:val="0"/>
                <w:lang w:val="en-US" w:eastAsia="pt-BR"/>
                <w14:ligatures w14:val="none"/>
              </w:rPr>
              <w:t>It was decided to maintain at maturity level 4 the possibility of extending the effects of the code of conduct to the employees of contracted companies, considering the preventive purpose of these codes.</w:t>
            </w:r>
          </w:p>
        </w:tc>
        <w:tc>
          <w:tcPr>
            <w:tcW w:w="3047" w:type="dxa"/>
          </w:tcPr>
          <w:p w14:paraId="12B88A08" w14:textId="513C9DF0"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c>
          <w:tcPr>
            <w:tcW w:w="3048" w:type="dxa"/>
          </w:tcPr>
          <w:p w14:paraId="222E1A43" w14:textId="69893ED7"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r>
      <w:tr w:rsidR="00F86EB7" w:rsidRPr="009B5F67" w14:paraId="0908226C" w14:textId="5DB24565" w:rsidTr="00F86EB7">
        <w:trPr>
          <w:trHeight w:val="288"/>
        </w:trPr>
        <w:tc>
          <w:tcPr>
            <w:tcW w:w="1555" w:type="dxa"/>
            <w:shd w:val="clear" w:color="auto" w:fill="auto"/>
            <w:noWrap/>
            <w:vAlign w:val="center"/>
            <w:hideMark/>
          </w:tcPr>
          <w:p w14:paraId="40E015D4" w14:textId="77777777" w:rsidR="00F86EB7" w:rsidRPr="00627BA5" w:rsidRDefault="00F86EB7" w:rsidP="00F86EB7">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9</w:t>
            </w:r>
          </w:p>
        </w:tc>
        <w:tc>
          <w:tcPr>
            <w:tcW w:w="3047" w:type="dxa"/>
          </w:tcPr>
          <w:p w14:paraId="1A1B7F21" w14:textId="77777777"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c>
          <w:tcPr>
            <w:tcW w:w="3047" w:type="dxa"/>
            <w:shd w:val="clear" w:color="auto" w:fill="auto"/>
            <w:noWrap/>
          </w:tcPr>
          <w:p w14:paraId="6FB24DF0" w14:textId="021C7E07"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c>
          <w:tcPr>
            <w:tcW w:w="3047" w:type="dxa"/>
          </w:tcPr>
          <w:p w14:paraId="664EC68E" w14:textId="460754BB"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4B6D34">
              <w:rPr>
                <w:rFonts w:ascii="Times New Roman" w:eastAsia="Times New Roman" w:hAnsi="Times New Roman" w:cs="Times New Roman"/>
                <w:color w:val="000000"/>
                <w:kern w:val="0"/>
                <w:lang w:val="en-US" w:eastAsia="pt-BR"/>
                <w14:ligatures w14:val="none"/>
              </w:rPr>
              <w:t xml:space="preserve">It is observed that in the proposed configuration, simply having a consultation channel that works could already qualify for maturity level 3, and the impact on contracts would only be measured at maturity level 4. Therefore, it was decided to readjust the maturity levels, </w:t>
            </w:r>
            <w:r w:rsidRPr="004B6D34">
              <w:rPr>
                <w:rFonts w:ascii="Times New Roman" w:eastAsia="Times New Roman" w:hAnsi="Times New Roman" w:cs="Times New Roman"/>
                <w:color w:val="000000"/>
                <w:kern w:val="0"/>
                <w:lang w:val="en-US" w:eastAsia="pt-BR"/>
                <w14:ligatures w14:val="none"/>
              </w:rPr>
              <w:lastRenderedPageBreak/>
              <w:t xml:space="preserve">so that only level 3 would be reached if the channel had specific disclosure for contracting agents, and the effectiveness of the channel would be a requirement for maturity level 4, assessed only if the channel had an impact on the </w:t>
            </w:r>
            <w:r>
              <w:rPr>
                <w:rFonts w:ascii="Times New Roman" w:eastAsia="Times New Roman" w:hAnsi="Times New Roman" w:cs="Times New Roman"/>
                <w:color w:val="000000"/>
                <w:kern w:val="0"/>
                <w:lang w:val="en-US" w:eastAsia="pt-BR"/>
                <w14:ligatures w14:val="none"/>
              </w:rPr>
              <w:t>procurement process</w:t>
            </w:r>
            <w:r w:rsidRPr="004B6D34">
              <w:rPr>
                <w:rFonts w:ascii="Times New Roman" w:eastAsia="Times New Roman" w:hAnsi="Times New Roman" w:cs="Times New Roman"/>
                <w:color w:val="000000"/>
                <w:kern w:val="0"/>
                <w:lang w:val="en-US" w:eastAsia="pt-BR"/>
                <w14:ligatures w14:val="none"/>
              </w:rPr>
              <w:t>.</w:t>
            </w:r>
          </w:p>
        </w:tc>
        <w:tc>
          <w:tcPr>
            <w:tcW w:w="3048" w:type="dxa"/>
          </w:tcPr>
          <w:p w14:paraId="1B1D115B" w14:textId="5F60538C"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r>
      <w:tr w:rsidR="00F86EB7" w:rsidRPr="009B5F67" w14:paraId="09630069" w14:textId="452F857C" w:rsidTr="00F86EB7">
        <w:trPr>
          <w:trHeight w:val="288"/>
        </w:trPr>
        <w:tc>
          <w:tcPr>
            <w:tcW w:w="1555" w:type="dxa"/>
            <w:shd w:val="clear" w:color="auto" w:fill="auto"/>
            <w:noWrap/>
            <w:vAlign w:val="center"/>
            <w:hideMark/>
          </w:tcPr>
          <w:p w14:paraId="181D38BE" w14:textId="77777777" w:rsidR="00F86EB7" w:rsidRPr="00627BA5" w:rsidRDefault="00F86EB7" w:rsidP="00F86EB7">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10</w:t>
            </w:r>
          </w:p>
        </w:tc>
        <w:tc>
          <w:tcPr>
            <w:tcW w:w="3047" w:type="dxa"/>
          </w:tcPr>
          <w:p w14:paraId="2041B42C" w14:textId="5B9A6826" w:rsidR="00F86EB7" w:rsidRPr="00974BD4" w:rsidRDefault="00724880"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724880">
              <w:rPr>
                <w:rFonts w:ascii="Times New Roman" w:eastAsia="Times New Roman" w:hAnsi="Times New Roman" w:cs="Times New Roman"/>
                <w:color w:val="000000"/>
                <w:kern w:val="0"/>
                <w:lang w:val="en-US" w:eastAsia="pt-BR"/>
                <w14:ligatures w14:val="none"/>
              </w:rPr>
              <w:t xml:space="preserve">There was a need to discuss the existence of certain contractual execution information. However, this would require detailing with new transparency verification </w:t>
            </w:r>
            <w:r>
              <w:rPr>
                <w:rFonts w:ascii="Times New Roman" w:eastAsia="Times New Roman" w:hAnsi="Times New Roman" w:cs="Times New Roman"/>
                <w:color w:val="000000"/>
                <w:kern w:val="0"/>
                <w:lang w:val="en-US" w:eastAsia="pt-BR"/>
                <w14:ligatures w14:val="none"/>
              </w:rPr>
              <w:t>questions</w:t>
            </w:r>
            <w:r w:rsidRPr="00724880">
              <w:rPr>
                <w:rFonts w:ascii="Times New Roman" w:eastAsia="Times New Roman" w:hAnsi="Times New Roman" w:cs="Times New Roman"/>
                <w:color w:val="000000"/>
                <w:kern w:val="0"/>
                <w:lang w:val="en-US" w:eastAsia="pt-BR"/>
                <w14:ligatures w14:val="none"/>
              </w:rPr>
              <w:t xml:space="preserve">, which would deviate too much from the focus of the </w:t>
            </w:r>
            <w:r>
              <w:rPr>
                <w:rFonts w:ascii="Times New Roman" w:eastAsia="Times New Roman" w:hAnsi="Times New Roman" w:cs="Times New Roman"/>
                <w:color w:val="000000"/>
                <w:kern w:val="0"/>
                <w:lang w:val="en-US" w:eastAsia="pt-BR"/>
                <w14:ligatures w14:val="none"/>
              </w:rPr>
              <w:t>maturity model</w:t>
            </w:r>
            <w:r w:rsidRPr="00724880">
              <w:rPr>
                <w:rFonts w:ascii="Times New Roman" w:eastAsia="Times New Roman" w:hAnsi="Times New Roman" w:cs="Times New Roman"/>
                <w:color w:val="000000"/>
                <w:kern w:val="0"/>
                <w:lang w:val="en-US" w:eastAsia="pt-BR"/>
                <w14:ligatures w14:val="none"/>
              </w:rPr>
              <w:t>.</w:t>
            </w:r>
          </w:p>
        </w:tc>
        <w:tc>
          <w:tcPr>
            <w:tcW w:w="3047" w:type="dxa"/>
            <w:shd w:val="clear" w:color="auto" w:fill="auto"/>
            <w:noWrap/>
          </w:tcPr>
          <w:p w14:paraId="34168AA5" w14:textId="2BE8E263"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974BD4">
              <w:rPr>
                <w:rFonts w:ascii="Times New Roman" w:eastAsia="Times New Roman" w:hAnsi="Times New Roman" w:cs="Times New Roman"/>
                <w:color w:val="000000"/>
                <w:kern w:val="0"/>
                <w:lang w:val="en-US" w:eastAsia="pt-BR"/>
                <w14:ligatures w14:val="none"/>
              </w:rPr>
              <w:t>It was deemed appropriate to establish at maturity level 4 the possibility of conducting integrity training for employees of contracted companies to ensure their alignment with the values and principles required within the organization.</w:t>
            </w:r>
          </w:p>
        </w:tc>
        <w:tc>
          <w:tcPr>
            <w:tcW w:w="3047" w:type="dxa"/>
          </w:tcPr>
          <w:p w14:paraId="41A689C6" w14:textId="63845372"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c>
          <w:tcPr>
            <w:tcW w:w="3048" w:type="dxa"/>
          </w:tcPr>
          <w:p w14:paraId="4B20AD14" w14:textId="66B25C1B"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r>
      <w:tr w:rsidR="00F86EB7" w:rsidRPr="009B5F67" w14:paraId="50D38569" w14:textId="3F9CB999" w:rsidTr="00F86EB7">
        <w:trPr>
          <w:trHeight w:val="288"/>
        </w:trPr>
        <w:tc>
          <w:tcPr>
            <w:tcW w:w="1555" w:type="dxa"/>
            <w:shd w:val="clear" w:color="auto" w:fill="auto"/>
            <w:noWrap/>
            <w:vAlign w:val="center"/>
            <w:hideMark/>
          </w:tcPr>
          <w:p w14:paraId="361382BA" w14:textId="77777777" w:rsidR="00F86EB7" w:rsidRPr="00627BA5" w:rsidRDefault="00F86EB7" w:rsidP="00F86EB7">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11</w:t>
            </w:r>
          </w:p>
        </w:tc>
        <w:tc>
          <w:tcPr>
            <w:tcW w:w="3047" w:type="dxa"/>
          </w:tcPr>
          <w:p w14:paraId="703E6DB7" w14:textId="253743A7" w:rsidR="00F86EB7" w:rsidRPr="00974BD4" w:rsidRDefault="005E4797"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5E4797">
              <w:rPr>
                <w:rFonts w:ascii="Times New Roman" w:eastAsia="Times New Roman" w:hAnsi="Times New Roman" w:cs="Times New Roman"/>
                <w:color w:val="000000"/>
                <w:kern w:val="0"/>
                <w:lang w:val="en-US" w:eastAsia="pt-BR"/>
                <w14:ligatures w14:val="none"/>
              </w:rPr>
              <w:t xml:space="preserve">Change the text of the evaluation </w:t>
            </w:r>
            <w:r>
              <w:rPr>
                <w:rFonts w:ascii="Times New Roman" w:eastAsia="Times New Roman" w:hAnsi="Times New Roman" w:cs="Times New Roman"/>
                <w:color w:val="000000"/>
                <w:kern w:val="0"/>
                <w:lang w:val="en-US" w:eastAsia="pt-BR"/>
                <w14:ligatures w14:val="none"/>
              </w:rPr>
              <w:t>question</w:t>
            </w:r>
            <w:r w:rsidRPr="005E4797">
              <w:rPr>
                <w:rFonts w:ascii="Times New Roman" w:eastAsia="Times New Roman" w:hAnsi="Times New Roman" w:cs="Times New Roman"/>
                <w:color w:val="000000"/>
                <w:kern w:val="0"/>
                <w:lang w:val="en-US" w:eastAsia="pt-BR"/>
                <w14:ligatures w14:val="none"/>
              </w:rPr>
              <w:t xml:space="preserve"> and maturity levels to make it clear that the risk management to be evaluated in this item is regarding specific contracts.</w:t>
            </w:r>
          </w:p>
        </w:tc>
        <w:tc>
          <w:tcPr>
            <w:tcW w:w="3047" w:type="dxa"/>
            <w:shd w:val="clear" w:color="auto" w:fill="auto"/>
            <w:noWrap/>
          </w:tcPr>
          <w:p w14:paraId="258AF775" w14:textId="13A9B2D6"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974BD4">
              <w:rPr>
                <w:rFonts w:ascii="Times New Roman" w:eastAsia="Times New Roman" w:hAnsi="Times New Roman" w:cs="Times New Roman"/>
                <w:color w:val="000000"/>
                <w:kern w:val="0"/>
                <w:lang w:val="en-US" w:eastAsia="pt-BR"/>
                <w14:ligatures w14:val="none"/>
              </w:rPr>
              <w:t xml:space="preserve">It is recognized that the use of non-permanent staff in municipalities is generally intense. Check the relevance of maintaining the evaluation item or if it can be consolidated into another item. Since maturity levels 3 and 4 point to the existence of supervision regulations, in theory, this could be covered </w:t>
            </w:r>
            <w:r w:rsidRPr="00974BD4">
              <w:rPr>
                <w:rFonts w:ascii="Times New Roman" w:eastAsia="Times New Roman" w:hAnsi="Times New Roman" w:cs="Times New Roman"/>
                <w:color w:val="000000"/>
                <w:kern w:val="0"/>
                <w:lang w:val="en-US" w:eastAsia="pt-BR"/>
                <w14:ligatures w14:val="none"/>
              </w:rPr>
              <w:lastRenderedPageBreak/>
              <w:t>by the Regulation of the entire inspection process.</w:t>
            </w:r>
          </w:p>
        </w:tc>
        <w:tc>
          <w:tcPr>
            <w:tcW w:w="3047" w:type="dxa"/>
          </w:tcPr>
          <w:p w14:paraId="7D920CA2" w14:textId="4CE888EA"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4B6D34">
              <w:rPr>
                <w:rFonts w:ascii="Times New Roman" w:eastAsia="Times New Roman" w:hAnsi="Times New Roman" w:cs="Times New Roman"/>
                <w:color w:val="000000"/>
                <w:kern w:val="0"/>
                <w:lang w:val="en-US" w:eastAsia="pt-BR"/>
                <w14:ligatures w14:val="none"/>
              </w:rPr>
              <w:lastRenderedPageBreak/>
              <w:t xml:space="preserve">The mere existence of permanent staff already qualifies for maturity level 4, making this </w:t>
            </w:r>
            <w:r>
              <w:rPr>
                <w:rFonts w:ascii="Times New Roman" w:eastAsia="Times New Roman" w:hAnsi="Times New Roman" w:cs="Times New Roman"/>
                <w:color w:val="000000"/>
                <w:kern w:val="0"/>
                <w:lang w:val="en-US" w:eastAsia="pt-BR"/>
                <w14:ligatures w14:val="none"/>
              </w:rPr>
              <w:t>question</w:t>
            </w:r>
            <w:r w:rsidRPr="004B6D34">
              <w:rPr>
                <w:rFonts w:ascii="Times New Roman" w:eastAsia="Times New Roman" w:hAnsi="Times New Roman" w:cs="Times New Roman"/>
                <w:color w:val="000000"/>
                <w:kern w:val="0"/>
                <w:lang w:val="en-US" w:eastAsia="pt-BR"/>
                <w14:ligatures w14:val="none"/>
              </w:rPr>
              <w:t xml:space="preserve"> of little utility. Remove </w:t>
            </w:r>
            <w:r>
              <w:rPr>
                <w:rFonts w:ascii="Times New Roman" w:eastAsia="Times New Roman" w:hAnsi="Times New Roman" w:cs="Times New Roman"/>
                <w:color w:val="000000"/>
                <w:kern w:val="0"/>
                <w:lang w:val="en-US" w:eastAsia="pt-BR"/>
                <w14:ligatures w14:val="none"/>
              </w:rPr>
              <w:t>it</w:t>
            </w:r>
            <w:r w:rsidRPr="004B6D34">
              <w:rPr>
                <w:rFonts w:ascii="Times New Roman" w:eastAsia="Times New Roman" w:hAnsi="Times New Roman" w:cs="Times New Roman"/>
                <w:color w:val="000000"/>
                <w:kern w:val="0"/>
                <w:lang w:val="en-US" w:eastAsia="pt-BR"/>
                <w14:ligatures w14:val="none"/>
              </w:rPr>
              <w:t>.</w:t>
            </w:r>
          </w:p>
        </w:tc>
        <w:tc>
          <w:tcPr>
            <w:tcW w:w="3048" w:type="dxa"/>
          </w:tcPr>
          <w:p w14:paraId="7A88FA8B" w14:textId="43801364"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E54711">
              <w:rPr>
                <w:rFonts w:ascii="Times New Roman" w:eastAsia="Times New Roman" w:hAnsi="Times New Roman" w:cs="Times New Roman"/>
                <w:color w:val="000000"/>
                <w:kern w:val="0"/>
                <w:lang w:val="en-US" w:eastAsia="pt-BR"/>
                <w14:ligatures w14:val="none"/>
              </w:rPr>
              <w:t>The mere presence of permanent staff already qualifies for maturity level 4, making this item of little utility.</w:t>
            </w:r>
          </w:p>
        </w:tc>
      </w:tr>
      <w:tr w:rsidR="00F86EB7" w:rsidRPr="009B5F67" w14:paraId="5417A5D7" w14:textId="7400B023" w:rsidTr="00F86EB7">
        <w:trPr>
          <w:trHeight w:val="288"/>
        </w:trPr>
        <w:tc>
          <w:tcPr>
            <w:tcW w:w="1555" w:type="dxa"/>
            <w:shd w:val="clear" w:color="auto" w:fill="auto"/>
            <w:noWrap/>
            <w:vAlign w:val="center"/>
            <w:hideMark/>
          </w:tcPr>
          <w:p w14:paraId="5DB1EF99" w14:textId="77777777" w:rsidR="00F86EB7" w:rsidRPr="00627BA5" w:rsidRDefault="00F86EB7" w:rsidP="00F86EB7">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12</w:t>
            </w:r>
          </w:p>
        </w:tc>
        <w:tc>
          <w:tcPr>
            <w:tcW w:w="3047" w:type="dxa"/>
          </w:tcPr>
          <w:p w14:paraId="043DF22F" w14:textId="3905379E" w:rsidR="00F86EB7" w:rsidRPr="00FF6333" w:rsidRDefault="005E4797" w:rsidP="00F86EB7">
            <w:pPr>
              <w:spacing w:after="0" w:line="240" w:lineRule="auto"/>
              <w:jc w:val="center"/>
              <w:rPr>
                <w:rFonts w:ascii="Times New Roman" w:eastAsia="Times New Roman" w:hAnsi="Times New Roman" w:cs="Times New Roman"/>
                <w:color w:val="000000"/>
                <w:kern w:val="0"/>
                <w:lang w:val="en-US" w:eastAsia="pt-BR"/>
                <w14:ligatures w14:val="none"/>
              </w:rPr>
            </w:pPr>
            <w:r>
              <w:rPr>
                <w:rFonts w:ascii="Times New Roman" w:eastAsia="Times New Roman" w:hAnsi="Times New Roman" w:cs="Times New Roman"/>
                <w:color w:val="000000"/>
                <w:kern w:val="0"/>
                <w:lang w:val="en-US" w:eastAsia="pt-BR"/>
                <w14:ligatures w14:val="none"/>
              </w:rPr>
              <w:t xml:space="preserve">Add </w:t>
            </w:r>
            <w:r w:rsidRPr="005E4797">
              <w:rPr>
                <w:rFonts w:ascii="Times New Roman" w:eastAsia="Times New Roman" w:hAnsi="Times New Roman" w:cs="Times New Roman"/>
                <w:color w:val="000000"/>
                <w:kern w:val="0"/>
                <w:lang w:val="en-US" w:eastAsia="pt-BR"/>
                <w14:ligatures w14:val="none"/>
              </w:rPr>
              <w:t>the qualification phase, in addition to pre-qualification.</w:t>
            </w:r>
          </w:p>
        </w:tc>
        <w:tc>
          <w:tcPr>
            <w:tcW w:w="3047" w:type="dxa"/>
            <w:shd w:val="clear" w:color="auto" w:fill="auto"/>
            <w:noWrap/>
          </w:tcPr>
          <w:p w14:paraId="0E41B459" w14:textId="26040B9B"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c>
          <w:tcPr>
            <w:tcW w:w="3047" w:type="dxa"/>
          </w:tcPr>
          <w:p w14:paraId="5F409B1B" w14:textId="0681F72A"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4B6D34">
              <w:rPr>
                <w:rFonts w:ascii="Times New Roman" w:eastAsia="Times New Roman" w:hAnsi="Times New Roman" w:cs="Times New Roman"/>
                <w:color w:val="000000"/>
                <w:kern w:val="0"/>
                <w:lang w:val="en-US" w:eastAsia="pt-BR"/>
                <w14:ligatures w14:val="none"/>
              </w:rPr>
              <w:t xml:space="preserve">The mere existence of permanent staff already qualifies for maturity level 4, making this </w:t>
            </w:r>
            <w:r>
              <w:rPr>
                <w:rFonts w:ascii="Times New Roman" w:eastAsia="Times New Roman" w:hAnsi="Times New Roman" w:cs="Times New Roman"/>
                <w:color w:val="000000"/>
                <w:kern w:val="0"/>
                <w:lang w:val="en-US" w:eastAsia="pt-BR"/>
                <w14:ligatures w14:val="none"/>
              </w:rPr>
              <w:t>question</w:t>
            </w:r>
            <w:r w:rsidRPr="004B6D34">
              <w:rPr>
                <w:rFonts w:ascii="Times New Roman" w:eastAsia="Times New Roman" w:hAnsi="Times New Roman" w:cs="Times New Roman"/>
                <w:color w:val="000000"/>
                <w:kern w:val="0"/>
                <w:lang w:val="en-US" w:eastAsia="pt-BR"/>
                <w14:ligatures w14:val="none"/>
              </w:rPr>
              <w:t xml:space="preserve"> of little utility. Remove </w:t>
            </w:r>
            <w:r>
              <w:rPr>
                <w:rFonts w:ascii="Times New Roman" w:eastAsia="Times New Roman" w:hAnsi="Times New Roman" w:cs="Times New Roman"/>
                <w:color w:val="000000"/>
                <w:kern w:val="0"/>
                <w:lang w:val="en-US" w:eastAsia="pt-BR"/>
                <w14:ligatures w14:val="none"/>
              </w:rPr>
              <w:t>it</w:t>
            </w:r>
            <w:r w:rsidRPr="004B6D34">
              <w:rPr>
                <w:rFonts w:ascii="Times New Roman" w:eastAsia="Times New Roman" w:hAnsi="Times New Roman" w:cs="Times New Roman"/>
                <w:color w:val="000000"/>
                <w:kern w:val="0"/>
                <w:lang w:val="en-US" w:eastAsia="pt-BR"/>
                <w14:ligatures w14:val="none"/>
              </w:rPr>
              <w:t>, and the integrity risk of the participation of non-permanent staff can be mitigated with regulations on the appointment of managers and contract supervisors.</w:t>
            </w:r>
          </w:p>
        </w:tc>
        <w:tc>
          <w:tcPr>
            <w:tcW w:w="3048" w:type="dxa"/>
          </w:tcPr>
          <w:p w14:paraId="5972227A" w14:textId="4D9FD898"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E54711">
              <w:rPr>
                <w:rFonts w:ascii="Times New Roman" w:eastAsia="Times New Roman" w:hAnsi="Times New Roman" w:cs="Times New Roman"/>
                <w:color w:val="000000"/>
                <w:kern w:val="0"/>
                <w:lang w:val="en-US" w:eastAsia="pt-BR"/>
                <w14:ligatures w14:val="none"/>
              </w:rPr>
              <w:t xml:space="preserve">The mere presence of permanent staff already qualifies for maturity level 4, making this item of little utility. Remove </w:t>
            </w:r>
            <w:r>
              <w:rPr>
                <w:rFonts w:ascii="Times New Roman" w:eastAsia="Times New Roman" w:hAnsi="Times New Roman" w:cs="Times New Roman"/>
                <w:color w:val="000000"/>
                <w:kern w:val="0"/>
                <w:lang w:val="en-US" w:eastAsia="pt-BR"/>
                <w14:ligatures w14:val="none"/>
              </w:rPr>
              <w:t>it</w:t>
            </w:r>
            <w:r w:rsidRPr="00E54711">
              <w:rPr>
                <w:rFonts w:ascii="Times New Roman" w:eastAsia="Times New Roman" w:hAnsi="Times New Roman" w:cs="Times New Roman"/>
                <w:color w:val="000000"/>
                <w:kern w:val="0"/>
                <w:lang w:val="en-US" w:eastAsia="pt-BR"/>
                <w14:ligatures w14:val="none"/>
              </w:rPr>
              <w:t>, and the integrity risk of non-permanent staff participation can be mitigated with regulations on the appointment of managers and contract supervisors.</w:t>
            </w:r>
          </w:p>
        </w:tc>
      </w:tr>
      <w:tr w:rsidR="00F86EB7" w:rsidRPr="009B5F67" w14:paraId="01DA923D" w14:textId="0AA19497" w:rsidTr="00F86EB7">
        <w:trPr>
          <w:trHeight w:val="372"/>
        </w:trPr>
        <w:tc>
          <w:tcPr>
            <w:tcW w:w="1555" w:type="dxa"/>
            <w:shd w:val="clear" w:color="auto" w:fill="auto"/>
            <w:noWrap/>
            <w:vAlign w:val="center"/>
            <w:hideMark/>
          </w:tcPr>
          <w:p w14:paraId="2A4205DE" w14:textId="77777777" w:rsidR="00F86EB7" w:rsidRPr="00627BA5" w:rsidRDefault="00F86EB7" w:rsidP="00F86EB7">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13</w:t>
            </w:r>
          </w:p>
        </w:tc>
        <w:tc>
          <w:tcPr>
            <w:tcW w:w="3047" w:type="dxa"/>
          </w:tcPr>
          <w:p w14:paraId="7D08A3D1" w14:textId="77777777" w:rsidR="00F86EB7" w:rsidRPr="00336A28"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c>
          <w:tcPr>
            <w:tcW w:w="3047" w:type="dxa"/>
            <w:shd w:val="clear" w:color="auto" w:fill="auto"/>
            <w:noWrap/>
          </w:tcPr>
          <w:p w14:paraId="41E7EA8B" w14:textId="5780A361"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336A28">
              <w:rPr>
                <w:rFonts w:ascii="Times New Roman" w:eastAsia="Times New Roman" w:hAnsi="Times New Roman" w:cs="Times New Roman"/>
                <w:color w:val="000000"/>
                <w:kern w:val="0"/>
                <w:lang w:val="en-US" w:eastAsia="pt-BR"/>
                <w14:ligatures w14:val="none"/>
              </w:rPr>
              <w:t>The distinctive item for maturity level 4 is the existence of evaluation of contract supervisors, which would encompass the idea of supervision of agents without an effective link from the other evaluation item (10 and 11).</w:t>
            </w:r>
          </w:p>
        </w:tc>
        <w:tc>
          <w:tcPr>
            <w:tcW w:w="3047" w:type="dxa"/>
          </w:tcPr>
          <w:p w14:paraId="16CB0F50" w14:textId="47333452"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c>
          <w:tcPr>
            <w:tcW w:w="3048" w:type="dxa"/>
          </w:tcPr>
          <w:p w14:paraId="73CE1867" w14:textId="0CC6F1B4"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r>
      <w:tr w:rsidR="00F86EB7" w:rsidRPr="009B5F67" w14:paraId="616539C2" w14:textId="448B266C" w:rsidTr="00F86EB7">
        <w:trPr>
          <w:trHeight w:val="288"/>
        </w:trPr>
        <w:tc>
          <w:tcPr>
            <w:tcW w:w="1555" w:type="dxa"/>
            <w:shd w:val="clear" w:color="auto" w:fill="auto"/>
            <w:noWrap/>
            <w:vAlign w:val="center"/>
            <w:hideMark/>
          </w:tcPr>
          <w:p w14:paraId="3928E3BC" w14:textId="77777777" w:rsidR="00F86EB7" w:rsidRPr="00627BA5" w:rsidRDefault="00F86EB7" w:rsidP="00F86EB7">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14</w:t>
            </w:r>
          </w:p>
        </w:tc>
        <w:tc>
          <w:tcPr>
            <w:tcW w:w="3047" w:type="dxa"/>
          </w:tcPr>
          <w:p w14:paraId="3404105D" w14:textId="77777777"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c>
          <w:tcPr>
            <w:tcW w:w="3047" w:type="dxa"/>
            <w:shd w:val="clear" w:color="auto" w:fill="auto"/>
            <w:noWrap/>
          </w:tcPr>
          <w:p w14:paraId="70B57844" w14:textId="4F817220"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c>
          <w:tcPr>
            <w:tcW w:w="3047" w:type="dxa"/>
          </w:tcPr>
          <w:p w14:paraId="1CFA9F79" w14:textId="2A47722A"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4B6D34">
              <w:rPr>
                <w:rFonts w:ascii="Times New Roman" w:eastAsia="Times New Roman" w:hAnsi="Times New Roman" w:cs="Times New Roman"/>
                <w:color w:val="000000"/>
                <w:kern w:val="0"/>
                <w:lang w:val="en-US" w:eastAsia="pt-BR"/>
                <w14:ligatures w14:val="none"/>
              </w:rPr>
              <w:t>The texts of the maturity levels were revised to also include the previous items that were discarded.</w:t>
            </w:r>
          </w:p>
        </w:tc>
        <w:tc>
          <w:tcPr>
            <w:tcW w:w="3048" w:type="dxa"/>
          </w:tcPr>
          <w:p w14:paraId="294DD294" w14:textId="77259720"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r>
              <w:rPr>
                <w:rFonts w:ascii="Times New Roman" w:eastAsia="Times New Roman" w:hAnsi="Times New Roman" w:cs="Times New Roman"/>
                <w:color w:val="000000"/>
                <w:kern w:val="0"/>
                <w:lang w:val="en-US" w:eastAsia="pt-BR"/>
                <w14:ligatures w14:val="none"/>
              </w:rPr>
              <w:t>M</w:t>
            </w:r>
            <w:r w:rsidRPr="00E54711">
              <w:rPr>
                <w:rFonts w:ascii="Times New Roman" w:eastAsia="Times New Roman" w:hAnsi="Times New Roman" w:cs="Times New Roman"/>
                <w:color w:val="000000"/>
                <w:kern w:val="0"/>
                <w:lang w:val="en-US" w:eastAsia="pt-BR"/>
                <w14:ligatures w14:val="none"/>
              </w:rPr>
              <w:t xml:space="preserve">aturity levels </w:t>
            </w:r>
            <w:r>
              <w:rPr>
                <w:rFonts w:ascii="Times New Roman" w:eastAsia="Times New Roman" w:hAnsi="Times New Roman" w:cs="Times New Roman"/>
                <w:color w:val="000000"/>
                <w:kern w:val="0"/>
                <w:lang w:val="en-US" w:eastAsia="pt-BR"/>
                <w14:ligatures w14:val="none"/>
              </w:rPr>
              <w:t xml:space="preserve">texts need to be </w:t>
            </w:r>
            <w:r w:rsidRPr="00E54711">
              <w:rPr>
                <w:rFonts w:ascii="Times New Roman" w:eastAsia="Times New Roman" w:hAnsi="Times New Roman" w:cs="Times New Roman"/>
                <w:color w:val="000000"/>
                <w:kern w:val="0"/>
                <w:lang w:val="en-US" w:eastAsia="pt-BR"/>
                <w14:ligatures w14:val="none"/>
              </w:rPr>
              <w:t>revised to make the classification at each level clearer.</w:t>
            </w:r>
          </w:p>
        </w:tc>
      </w:tr>
      <w:tr w:rsidR="00F86EB7" w:rsidRPr="009B5F67" w14:paraId="2011732E" w14:textId="29944D56" w:rsidTr="00F86EB7">
        <w:trPr>
          <w:trHeight w:val="288"/>
        </w:trPr>
        <w:tc>
          <w:tcPr>
            <w:tcW w:w="1555" w:type="dxa"/>
            <w:shd w:val="clear" w:color="auto" w:fill="auto"/>
            <w:noWrap/>
            <w:vAlign w:val="center"/>
            <w:hideMark/>
          </w:tcPr>
          <w:p w14:paraId="0365A49E" w14:textId="77777777" w:rsidR="00F86EB7" w:rsidRPr="00627BA5" w:rsidRDefault="00F86EB7" w:rsidP="00F86EB7">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15</w:t>
            </w:r>
          </w:p>
        </w:tc>
        <w:tc>
          <w:tcPr>
            <w:tcW w:w="3047" w:type="dxa"/>
          </w:tcPr>
          <w:p w14:paraId="348582FF" w14:textId="59F5B49A" w:rsidR="00F86EB7" w:rsidRPr="00336A28" w:rsidRDefault="00097E69"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097E69">
              <w:rPr>
                <w:rFonts w:ascii="Times New Roman" w:eastAsia="Times New Roman" w:hAnsi="Times New Roman" w:cs="Times New Roman"/>
                <w:color w:val="000000"/>
                <w:kern w:val="0"/>
                <w:lang w:val="en-US" w:eastAsia="pt-BR"/>
                <w14:ligatures w14:val="none"/>
              </w:rPr>
              <w:t xml:space="preserve">Change the text of maturity level 3 and remove the reference to large contracts. Insert in maturity levels 3 and </w:t>
            </w:r>
            <w:r w:rsidRPr="00097E69">
              <w:rPr>
                <w:rFonts w:ascii="Times New Roman" w:eastAsia="Times New Roman" w:hAnsi="Times New Roman" w:cs="Times New Roman"/>
                <w:color w:val="000000"/>
                <w:kern w:val="0"/>
                <w:lang w:val="en-US" w:eastAsia="pt-BR"/>
                <w14:ligatures w14:val="none"/>
              </w:rPr>
              <w:lastRenderedPageBreak/>
              <w:t xml:space="preserve">4 the question of regulating the evaluation of </w:t>
            </w:r>
            <w:r>
              <w:rPr>
                <w:rFonts w:ascii="Times New Roman" w:eastAsia="Times New Roman" w:hAnsi="Times New Roman" w:cs="Times New Roman"/>
                <w:color w:val="000000"/>
                <w:kern w:val="0"/>
                <w:lang w:val="en-US" w:eastAsia="pt-BR"/>
                <w14:ligatures w14:val="none"/>
              </w:rPr>
              <w:t>supplier’s</w:t>
            </w:r>
            <w:r w:rsidRPr="00097E69">
              <w:rPr>
                <w:rFonts w:ascii="Times New Roman" w:eastAsia="Times New Roman" w:hAnsi="Times New Roman" w:cs="Times New Roman"/>
                <w:color w:val="000000"/>
                <w:kern w:val="0"/>
                <w:lang w:val="en-US" w:eastAsia="pt-BR"/>
                <w14:ligatures w14:val="none"/>
              </w:rPr>
              <w:t xml:space="preserve"> programs as a differentiator.</w:t>
            </w:r>
          </w:p>
        </w:tc>
        <w:tc>
          <w:tcPr>
            <w:tcW w:w="3047" w:type="dxa"/>
            <w:shd w:val="clear" w:color="auto" w:fill="auto"/>
            <w:noWrap/>
          </w:tcPr>
          <w:p w14:paraId="6D68EC68" w14:textId="1AF4985A"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336A28">
              <w:rPr>
                <w:rFonts w:ascii="Times New Roman" w:eastAsia="Times New Roman" w:hAnsi="Times New Roman" w:cs="Times New Roman"/>
                <w:color w:val="000000"/>
                <w:kern w:val="0"/>
                <w:lang w:val="en-US" w:eastAsia="pt-BR"/>
                <w14:ligatures w14:val="none"/>
              </w:rPr>
              <w:lastRenderedPageBreak/>
              <w:t xml:space="preserve">The discussion led to an analysis of the relevance of maintaining this evaluation </w:t>
            </w:r>
            <w:r w:rsidRPr="00336A28">
              <w:rPr>
                <w:rFonts w:ascii="Times New Roman" w:eastAsia="Times New Roman" w:hAnsi="Times New Roman" w:cs="Times New Roman"/>
                <w:color w:val="000000"/>
                <w:kern w:val="0"/>
                <w:lang w:val="en-US" w:eastAsia="pt-BR"/>
                <w14:ligatures w14:val="none"/>
              </w:rPr>
              <w:lastRenderedPageBreak/>
              <w:t>item in terms of cost/benefit of implementation.</w:t>
            </w:r>
          </w:p>
        </w:tc>
        <w:tc>
          <w:tcPr>
            <w:tcW w:w="3047" w:type="dxa"/>
          </w:tcPr>
          <w:p w14:paraId="7329BFB5" w14:textId="7CBA5797"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4B6D34">
              <w:rPr>
                <w:rFonts w:ascii="Times New Roman" w:eastAsia="Times New Roman" w:hAnsi="Times New Roman" w:cs="Times New Roman"/>
                <w:color w:val="000000"/>
                <w:kern w:val="0"/>
                <w:lang w:val="en-US" w:eastAsia="pt-BR"/>
                <w14:ligatures w14:val="none"/>
              </w:rPr>
              <w:lastRenderedPageBreak/>
              <w:t xml:space="preserve">Evaluation </w:t>
            </w:r>
            <w:r>
              <w:rPr>
                <w:rFonts w:ascii="Times New Roman" w:eastAsia="Times New Roman" w:hAnsi="Times New Roman" w:cs="Times New Roman"/>
                <w:color w:val="000000"/>
                <w:kern w:val="0"/>
                <w:lang w:val="en-US" w:eastAsia="pt-BR"/>
                <w14:ligatures w14:val="none"/>
              </w:rPr>
              <w:t>question</w:t>
            </w:r>
            <w:r w:rsidRPr="004B6D34">
              <w:rPr>
                <w:rFonts w:ascii="Times New Roman" w:eastAsia="Times New Roman" w:hAnsi="Times New Roman" w:cs="Times New Roman"/>
                <w:color w:val="000000"/>
                <w:kern w:val="0"/>
                <w:lang w:val="en-US" w:eastAsia="pt-BR"/>
                <w14:ligatures w14:val="none"/>
              </w:rPr>
              <w:t xml:space="preserve"> removed from the model. The evaluation of integrity risks for contracting agents can be </w:t>
            </w:r>
            <w:r w:rsidRPr="004B6D34">
              <w:rPr>
                <w:rFonts w:ascii="Times New Roman" w:eastAsia="Times New Roman" w:hAnsi="Times New Roman" w:cs="Times New Roman"/>
                <w:color w:val="000000"/>
                <w:kern w:val="0"/>
                <w:lang w:val="en-US" w:eastAsia="pt-BR"/>
                <w14:ligatures w14:val="none"/>
              </w:rPr>
              <w:lastRenderedPageBreak/>
              <w:t xml:space="preserve">addressed in regulations regarding the appointment and selection of these agents (previous </w:t>
            </w:r>
            <w:r>
              <w:rPr>
                <w:rFonts w:ascii="Times New Roman" w:eastAsia="Times New Roman" w:hAnsi="Times New Roman" w:cs="Times New Roman"/>
                <w:color w:val="000000"/>
                <w:kern w:val="0"/>
                <w:lang w:val="en-US" w:eastAsia="pt-BR"/>
                <w14:ligatures w14:val="none"/>
              </w:rPr>
              <w:t>question</w:t>
            </w:r>
            <w:r w:rsidRPr="004B6D34">
              <w:rPr>
                <w:rFonts w:ascii="Times New Roman" w:eastAsia="Times New Roman" w:hAnsi="Times New Roman" w:cs="Times New Roman"/>
                <w:color w:val="000000"/>
                <w:kern w:val="0"/>
                <w:lang w:val="en-US" w:eastAsia="pt-BR"/>
                <w14:ligatures w14:val="none"/>
              </w:rPr>
              <w:t>).</w:t>
            </w:r>
          </w:p>
        </w:tc>
        <w:tc>
          <w:tcPr>
            <w:tcW w:w="3048" w:type="dxa"/>
          </w:tcPr>
          <w:p w14:paraId="3967A05A" w14:textId="32C510A3"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E54711">
              <w:rPr>
                <w:rFonts w:ascii="Times New Roman" w:eastAsia="Times New Roman" w:hAnsi="Times New Roman" w:cs="Times New Roman"/>
                <w:color w:val="000000"/>
                <w:kern w:val="0"/>
                <w:lang w:val="en-US" w:eastAsia="pt-BR"/>
                <w14:ligatures w14:val="none"/>
              </w:rPr>
              <w:lastRenderedPageBreak/>
              <w:t xml:space="preserve">Evaluation </w:t>
            </w:r>
            <w:r>
              <w:rPr>
                <w:rFonts w:ascii="Times New Roman" w:eastAsia="Times New Roman" w:hAnsi="Times New Roman" w:cs="Times New Roman"/>
                <w:color w:val="000000"/>
                <w:kern w:val="0"/>
                <w:lang w:val="en-US" w:eastAsia="pt-BR"/>
                <w14:ligatures w14:val="none"/>
              </w:rPr>
              <w:t>question</w:t>
            </w:r>
            <w:r w:rsidRPr="00E54711">
              <w:rPr>
                <w:rFonts w:ascii="Times New Roman" w:eastAsia="Times New Roman" w:hAnsi="Times New Roman" w:cs="Times New Roman"/>
                <w:color w:val="000000"/>
                <w:kern w:val="0"/>
                <w:lang w:val="en-US" w:eastAsia="pt-BR"/>
                <w14:ligatures w14:val="none"/>
              </w:rPr>
              <w:t xml:space="preserve"> removed from the model. The evaluation of integrity risks for contracting agents can be </w:t>
            </w:r>
            <w:r w:rsidRPr="00E54711">
              <w:rPr>
                <w:rFonts w:ascii="Times New Roman" w:eastAsia="Times New Roman" w:hAnsi="Times New Roman" w:cs="Times New Roman"/>
                <w:color w:val="000000"/>
                <w:kern w:val="0"/>
                <w:lang w:val="en-US" w:eastAsia="pt-BR"/>
                <w14:ligatures w14:val="none"/>
              </w:rPr>
              <w:lastRenderedPageBreak/>
              <w:t>addressed in regulations regarding the appointment and selection of these agents (previous item).</w:t>
            </w:r>
          </w:p>
        </w:tc>
      </w:tr>
      <w:tr w:rsidR="00F86EB7" w:rsidRPr="009B5F67" w14:paraId="102D483E" w14:textId="577F7ACE" w:rsidTr="00F86EB7">
        <w:trPr>
          <w:trHeight w:val="288"/>
        </w:trPr>
        <w:tc>
          <w:tcPr>
            <w:tcW w:w="1555" w:type="dxa"/>
            <w:shd w:val="clear" w:color="auto" w:fill="auto"/>
            <w:noWrap/>
            <w:vAlign w:val="center"/>
            <w:hideMark/>
          </w:tcPr>
          <w:p w14:paraId="587C7D02" w14:textId="77777777" w:rsidR="00F86EB7" w:rsidRPr="00627BA5" w:rsidRDefault="00F86EB7" w:rsidP="00F86EB7">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lastRenderedPageBreak/>
              <w:t>16</w:t>
            </w:r>
          </w:p>
        </w:tc>
        <w:tc>
          <w:tcPr>
            <w:tcW w:w="3047" w:type="dxa"/>
          </w:tcPr>
          <w:p w14:paraId="5BC7E847" w14:textId="77777777" w:rsidR="00F86EB7" w:rsidRPr="00336A28"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c>
          <w:tcPr>
            <w:tcW w:w="3047" w:type="dxa"/>
            <w:shd w:val="clear" w:color="auto" w:fill="auto"/>
            <w:noWrap/>
          </w:tcPr>
          <w:p w14:paraId="3AD492A3" w14:textId="00FF435D"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336A28">
              <w:rPr>
                <w:rFonts w:ascii="Times New Roman" w:eastAsia="Times New Roman" w:hAnsi="Times New Roman" w:cs="Times New Roman"/>
                <w:color w:val="000000"/>
                <w:kern w:val="0"/>
                <w:lang w:val="en-US" w:eastAsia="pt-BR"/>
                <w14:ligatures w14:val="none"/>
              </w:rPr>
              <w:t>The text of maturity level 4 could be clearer that the qualification requires assigning a unit the competence to supervise/coordinate administrative disciplinary processes.</w:t>
            </w:r>
          </w:p>
        </w:tc>
        <w:tc>
          <w:tcPr>
            <w:tcW w:w="3047" w:type="dxa"/>
          </w:tcPr>
          <w:p w14:paraId="2AE9B108" w14:textId="3BDFC8F6"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c>
          <w:tcPr>
            <w:tcW w:w="3048" w:type="dxa"/>
          </w:tcPr>
          <w:p w14:paraId="50971012" w14:textId="698C066F"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r>
      <w:tr w:rsidR="00F86EB7" w:rsidRPr="009B5F67" w14:paraId="77E2A3BC" w14:textId="4E505735" w:rsidTr="00F86EB7">
        <w:trPr>
          <w:trHeight w:val="288"/>
        </w:trPr>
        <w:tc>
          <w:tcPr>
            <w:tcW w:w="1555" w:type="dxa"/>
            <w:shd w:val="clear" w:color="auto" w:fill="auto"/>
            <w:noWrap/>
            <w:vAlign w:val="center"/>
            <w:hideMark/>
          </w:tcPr>
          <w:p w14:paraId="343929BF" w14:textId="77777777" w:rsidR="00F86EB7" w:rsidRPr="00627BA5" w:rsidRDefault="00F86EB7" w:rsidP="00F86EB7">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17</w:t>
            </w:r>
          </w:p>
        </w:tc>
        <w:tc>
          <w:tcPr>
            <w:tcW w:w="3047" w:type="dxa"/>
          </w:tcPr>
          <w:p w14:paraId="2E954830" w14:textId="77777777" w:rsidR="00F86EB7" w:rsidRPr="00336A28"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c>
          <w:tcPr>
            <w:tcW w:w="3047" w:type="dxa"/>
            <w:shd w:val="clear" w:color="auto" w:fill="auto"/>
            <w:noWrap/>
          </w:tcPr>
          <w:p w14:paraId="10035935" w14:textId="1F26CD0E"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336A28">
              <w:rPr>
                <w:rFonts w:ascii="Times New Roman" w:eastAsia="Times New Roman" w:hAnsi="Times New Roman" w:cs="Times New Roman"/>
                <w:color w:val="000000"/>
                <w:kern w:val="0"/>
                <w:lang w:val="en-US" w:eastAsia="pt-BR"/>
                <w14:ligatures w14:val="none"/>
              </w:rPr>
              <w:t>Similarly to the previous item, the text of maturity level 4 could be clearer that the qualification requires assigning a unit the competence to supervise/coordinate administrative disciplinary processes.</w:t>
            </w:r>
          </w:p>
        </w:tc>
        <w:tc>
          <w:tcPr>
            <w:tcW w:w="3047" w:type="dxa"/>
          </w:tcPr>
          <w:p w14:paraId="4CB36BE1" w14:textId="6DDEE5A4"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c>
          <w:tcPr>
            <w:tcW w:w="3048" w:type="dxa"/>
          </w:tcPr>
          <w:p w14:paraId="7B2E6FD5" w14:textId="429F21C2"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r>
      <w:tr w:rsidR="00F86EB7" w:rsidRPr="009B5F67" w14:paraId="63491BDB" w14:textId="3F852794" w:rsidTr="00F86EB7">
        <w:trPr>
          <w:trHeight w:val="288"/>
        </w:trPr>
        <w:tc>
          <w:tcPr>
            <w:tcW w:w="1555" w:type="dxa"/>
            <w:shd w:val="clear" w:color="auto" w:fill="auto"/>
            <w:noWrap/>
            <w:vAlign w:val="center"/>
            <w:hideMark/>
          </w:tcPr>
          <w:p w14:paraId="4CB0654C" w14:textId="77777777" w:rsidR="00F86EB7" w:rsidRPr="00627BA5" w:rsidRDefault="00F86EB7" w:rsidP="00F86EB7">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18</w:t>
            </w:r>
          </w:p>
        </w:tc>
        <w:tc>
          <w:tcPr>
            <w:tcW w:w="3047" w:type="dxa"/>
          </w:tcPr>
          <w:p w14:paraId="6773F51C" w14:textId="77777777" w:rsidR="00F86EB7" w:rsidRPr="00336A28"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c>
          <w:tcPr>
            <w:tcW w:w="3047" w:type="dxa"/>
            <w:shd w:val="clear" w:color="auto" w:fill="auto"/>
            <w:noWrap/>
          </w:tcPr>
          <w:p w14:paraId="262AF425" w14:textId="2FFF1276"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336A28">
              <w:rPr>
                <w:rFonts w:ascii="Times New Roman" w:eastAsia="Times New Roman" w:hAnsi="Times New Roman" w:cs="Times New Roman"/>
                <w:color w:val="000000"/>
                <w:kern w:val="0"/>
                <w:lang w:val="en-US" w:eastAsia="pt-BR"/>
                <w14:ligatures w14:val="none"/>
              </w:rPr>
              <w:t>The item generated relevant discussion, with significant potential as an inducer of discussion in units that are still at maturity levels 1 and 2.</w:t>
            </w:r>
          </w:p>
        </w:tc>
        <w:tc>
          <w:tcPr>
            <w:tcW w:w="3047" w:type="dxa"/>
          </w:tcPr>
          <w:p w14:paraId="676C1B34" w14:textId="174D91A4"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c>
          <w:tcPr>
            <w:tcW w:w="3048" w:type="dxa"/>
          </w:tcPr>
          <w:p w14:paraId="724C3380" w14:textId="19F9981F"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r>
      <w:tr w:rsidR="00F86EB7" w:rsidRPr="009B5F67" w14:paraId="57A9CD37" w14:textId="7060B46D" w:rsidTr="00F86EB7">
        <w:trPr>
          <w:trHeight w:val="288"/>
        </w:trPr>
        <w:tc>
          <w:tcPr>
            <w:tcW w:w="1555" w:type="dxa"/>
            <w:shd w:val="clear" w:color="auto" w:fill="auto"/>
            <w:noWrap/>
            <w:vAlign w:val="center"/>
            <w:hideMark/>
          </w:tcPr>
          <w:p w14:paraId="06BE8B43" w14:textId="77777777" w:rsidR="00F86EB7" w:rsidRPr="00627BA5" w:rsidRDefault="00F86EB7" w:rsidP="00F86EB7">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19</w:t>
            </w:r>
          </w:p>
        </w:tc>
        <w:tc>
          <w:tcPr>
            <w:tcW w:w="3047" w:type="dxa"/>
          </w:tcPr>
          <w:p w14:paraId="192C7B2E" w14:textId="77777777" w:rsidR="00F86EB7" w:rsidRPr="00336A28"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c>
          <w:tcPr>
            <w:tcW w:w="3047" w:type="dxa"/>
            <w:shd w:val="clear" w:color="auto" w:fill="auto"/>
            <w:noWrap/>
          </w:tcPr>
          <w:p w14:paraId="56F12FA1" w14:textId="668F0E82"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336A28">
              <w:rPr>
                <w:rFonts w:ascii="Times New Roman" w:eastAsia="Times New Roman" w:hAnsi="Times New Roman" w:cs="Times New Roman"/>
                <w:color w:val="000000"/>
                <w:kern w:val="0"/>
                <w:lang w:val="en-US" w:eastAsia="pt-BR"/>
                <w14:ligatures w14:val="none"/>
              </w:rPr>
              <w:t xml:space="preserve">To clarify the qualification at the various levels, the texts of each level were realigned, </w:t>
            </w:r>
            <w:r w:rsidRPr="00336A28">
              <w:rPr>
                <w:rFonts w:ascii="Times New Roman" w:eastAsia="Times New Roman" w:hAnsi="Times New Roman" w:cs="Times New Roman"/>
                <w:color w:val="000000"/>
                <w:kern w:val="0"/>
                <w:lang w:val="en-US" w:eastAsia="pt-BR"/>
                <w14:ligatures w14:val="none"/>
              </w:rPr>
              <w:lastRenderedPageBreak/>
              <w:t>with a distribution analogous to the previous item. However, a substantial difference from the previous item is that for maturity level 4, in addition to publication in active transparency, it also requires that the final evaluation address integrity criteria.</w:t>
            </w:r>
          </w:p>
        </w:tc>
        <w:tc>
          <w:tcPr>
            <w:tcW w:w="3047" w:type="dxa"/>
          </w:tcPr>
          <w:p w14:paraId="2F348C0A" w14:textId="598D9C6D"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c>
          <w:tcPr>
            <w:tcW w:w="3048" w:type="dxa"/>
          </w:tcPr>
          <w:p w14:paraId="48F6AE69" w14:textId="331F79BA"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r>
      <w:tr w:rsidR="00F86EB7" w:rsidRPr="009B5F67" w14:paraId="3468FDAD" w14:textId="3A8DD2E1" w:rsidTr="00F86EB7">
        <w:trPr>
          <w:trHeight w:val="288"/>
        </w:trPr>
        <w:tc>
          <w:tcPr>
            <w:tcW w:w="1555" w:type="dxa"/>
            <w:shd w:val="clear" w:color="auto" w:fill="auto"/>
            <w:noWrap/>
            <w:vAlign w:val="center"/>
            <w:hideMark/>
          </w:tcPr>
          <w:p w14:paraId="28329012" w14:textId="77777777" w:rsidR="00F86EB7" w:rsidRPr="00627BA5" w:rsidRDefault="00F86EB7" w:rsidP="00F86EB7">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20</w:t>
            </w:r>
          </w:p>
        </w:tc>
        <w:tc>
          <w:tcPr>
            <w:tcW w:w="3047" w:type="dxa"/>
          </w:tcPr>
          <w:p w14:paraId="389218B7" w14:textId="77777777" w:rsidR="00F86EB7" w:rsidRPr="00336A28"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c>
          <w:tcPr>
            <w:tcW w:w="3047" w:type="dxa"/>
            <w:shd w:val="clear" w:color="auto" w:fill="auto"/>
            <w:noWrap/>
          </w:tcPr>
          <w:p w14:paraId="36CDDB41" w14:textId="5A7E410B"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336A28">
              <w:rPr>
                <w:rFonts w:ascii="Times New Roman" w:eastAsia="Times New Roman" w:hAnsi="Times New Roman" w:cs="Times New Roman"/>
                <w:color w:val="000000"/>
                <w:kern w:val="0"/>
                <w:lang w:val="en-US" w:eastAsia="pt-BR"/>
                <w14:ligatures w14:val="none"/>
              </w:rPr>
              <w:t>In the case of creating a manual for applying the MGIC Model, an exemplary list of integrity indicators for the contracting flow can be included to support adequate qualification in the proposed maturity levels.</w:t>
            </w:r>
          </w:p>
        </w:tc>
        <w:tc>
          <w:tcPr>
            <w:tcW w:w="3047" w:type="dxa"/>
          </w:tcPr>
          <w:p w14:paraId="60151588" w14:textId="610208DC"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c>
          <w:tcPr>
            <w:tcW w:w="3048" w:type="dxa"/>
          </w:tcPr>
          <w:p w14:paraId="6DDFC851" w14:textId="5B337AFC"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r>
      <w:tr w:rsidR="00F86EB7" w:rsidRPr="009B5F67" w14:paraId="5D2A1B66" w14:textId="3D14CFAD" w:rsidTr="00F86EB7">
        <w:trPr>
          <w:trHeight w:val="288"/>
        </w:trPr>
        <w:tc>
          <w:tcPr>
            <w:tcW w:w="1555" w:type="dxa"/>
            <w:shd w:val="clear" w:color="auto" w:fill="auto"/>
            <w:noWrap/>
            <w:vAlign w:val="center"/>
            <w:hideMark/>
          </w:tcPr>
          <w:p w14:paraId="3AD89E74" w14:textId="77777777" w:rsidR="00F86EB7" w:rsidRPr="00627BA5" w:rsidRDefault="00F86EB7" w:rsidP="00F86EB7">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21</w:t>
            </w:r>
          </w:p>
        </w:tc>
        <w:tc>
          <w:tcPr>
            <w:tcW w:w="3047" w:type="dxa"/>
          </w:tcPr>
          <w:p w14:paraId="20606EEA" w14:textId="6D8BB40F" w:rsidR="00F86EB7" w:rsidRPr="00FF6333" w:rsidRDefault="00097E69"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097E69">
              <w:rPr>
                <w:rFonts w:ascii="Times New Roman" w:eastAsia="Times New Roman" w:hAnsi="Times New Roman" w:cs="Times New Roman"/>
                <w:color w:val="000000"/>
                <w:kern w:val="0"/>
                <w:lang w:val="en-US" w:eastAsia="pt-BR"/>
                <w14:ligatures w14:val="none"/>
              </w:rPr>
              <w:t xml:space="preserve">Analyze the relevance of maintaining or not this </w:t>
            </w:r>
            <w:r>
              <w:rPr>
                <w:rFonts w:ascii="Times New Roman" w:eastAsia="Times New Roman" w:hAnsi="Times New Roman" w:cs="Times New Roman"/>
                <w:color w:val="000000"/>
                <w:kern w:val="0"/>
                <w:lang w:val="en-US" w:eastAsia="pt-BR"/>
                <w14:ligatures w14:val="none"/>
              </w:rPr>
              <w:t>question</w:t>
            </w:r>
            <w:r w:rsidRPr="00097E69">
              <w:rPr>
                <w:rFonts w:ascii="Times New Roman" w:eastAsia="Times New Roman" w:hAnsi="Times New Roman" w:cs="Times New Roman"/>
                <w:color w:val="000000"/>
                <w:kern w:val="0"/>
                <w:lang w:val="en-US" w:eastAsia="pt-BR"/>
                <w14:ligatures w14:val="none"/>
              </w:rPr>
              <w:t xml:space="preserve">, or if it could be covered by the existing </w:t>
            </w:r>
            <w:r>
              <w:rPr>
                <w:rFonts w:ascii="Times New Roman" w:eastAsia="Times New Roman" w:hAnsi="Times New Roman" w:cs="Times New Roman"/>
                <w:color w:val="000000"/>
                <w:kern w:val="0"/>
                <w:lang w:val="en-US" w:eastAsia="pt-BR"/>
                <w14:ligatures w14:val="none"/>
              </w:rPr>
              <w:t>one</w:t>
            </w:r>
            <w:r w:rsidRPr="00097E69">
              <w:rPr>
                <w:rFonts w:ascii="Times New Roman" w:eastAsia="Times New Roman" w:hAnsi="Times New Roman" w:cs="Times New Roman"/>
                <w:color w:val="000000"/>
                <w:kern w:val="0"/>
                <w:lang w:val="en-US" w:eastAsia="pt-BR"/>
                <w14:ligatures w14:val="none"/>
              </w:rPr>
              <w:t xml:space="preserve"> regarding the regulation of selection and appointment of employees.</w:t>
            </w:r>
          </w:p>
        </w:tc>
        <w:tc>
          <w:tcPr>
            <w:tcW w:w="3047" w:type="dxa"/>
            <w:shd w:val="clear" w:color="auto" w:fill="auto"/>
            <w:noWrap/>
          </w:tcPr>
          <w:p w14:paraId="2343A25B" w14:textId="57CAF687"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c>
          <w:tcPr>
            <w:tcW w:w="3047" w:type="dxa"/>
          </w:tcPr>
          <w:p w14:paraId="153A9D8C" w14:textId="4DB79CFB"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c>
          <w:tcPr>
            <w:tcW w:w="3048" w:type="dxa"/>
          </w:tcPr>
          <w:p w14:paraId="626FEA40" w14:textId="122FC57A"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r>
      <w:tr w:rsidR="00F86EB7" w:rsidRPr="009B5F67" w14:paraId="2A712AF0" w14:textId="7A7A813F" w:rsidTr="00F86EB7">
        <w:trPr>
          <w:trHeight w:val="288"/>
        </w:trPr>
        <w:tc>
          <w:tcPr>
            <w:tcW w:w="1555" w:type="dxa"/>
            <w:shd w:val="clear" w:color="auto" w:fill="auto"/>
            <w:noWrap/>
            <w:vAlign w:val="center"/>
            <w:hideMark/>
          </w:tcPr>
          <w:p w14:paraId="336A0EAB" w14:textId="77777777" w:rsidR="00F86EB7" w:rsidRPr="00627BA5" w:rsidRDefault="00F86EB7" w:rsidP="00F86EB7">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22</w:t>
            </w:r>
          </w:p>
        </w:tc>
        <w:tc>
          <w:tcPr>
            <w:tcW w:w="3047" w:type="dxa"/>
          </w:tcPr>
          <w:p w14:paraId="4269AE1D" w14:textId="30389B68" w:rsidR="00F86EB7" w:rsidRPr="00FF6333" w:rsidRDefault="00097E69"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097E69">
              <w:rPr>
                <w:rFonts w:ascii="Times New Roman" w:eastAsia="Times New Roman" w:hAnsi="Times New Roman" w:cs="Times New Roman"/>
                <w:color w:val="000000"/>
                <w:kern w:val="0"/>
                <w:lang w:val="en-US" w:eastAsia="pt-BR"/>
                <w14:ligatures w14:val="none"/>
              </w:rPr>
              <w:t xml:space="preserve">Analyze the relevance of maintaining or not this </w:t>
            </w:r>
            <w:r>
              <w:rPr>
                <w:rFonts w:ascii="Times New Roman" w:eastAsia="Times New Roman" w:hAnsi="Times New Roman" w:cs="Times New Roman"/>
                <w:color w:val="000000"/>
                <w:kern w:val="0"/>
                <w:lang w:val="en-US" w:eastAsia="pt-BR"/>
                <w14:ligatures w14:val="none"/>
              </w:rPr>
              <w:t>question</w:t>
            </w:r>
            <w:r w:rsidRPr="00097E69">
              <w:rPr>
                <w:rFonts w:ascii="Times New Roman" w:eastAsia="Times New Roman" w:hAnsi="Times New Roman" w:cs="Times New Roman"/>
                <w:color w:val="000000"/>
                <w:kern w:val="0"/>
                <w:lang w:val="en-US" w:eastAsia="pt-BR"/>
                <w14:ligatures w14:val="none"/>
              </w:rPr>
              <w:t xml:space="preserve">, or if it could be covered by the existing </w:t>
            </w:r>
            <w:r>
              <w:rPr>
                <w:rFonts w:ascii="Times New Roman" w:eastAsia="Times New Roman" w:hAnsi="Times New Roman" w:cs="Times New Roman"/>
                <w:color w:val="000000"/>
                <w:kern w:val="0"/>
                <w:lang w:val="en-US" w:eastAsia="pt-BR"/>
                <w14:ligatures w14:val="none"/>
              </w:rPr>
              <w:t>one</w:t>
            </w:r>
            <w:r w:rsidRPr="00097E69">
              <w:rPr>
                <w:rFonts w:ascii="Times New Roman" w:eastAsia="Times New Roman" w:hAnsi="Times New Roman" w:cs="Times New Roman"/>
                <w:color w:val="000000"/>
                <w:kern w:val="0"/>
                <w:lang w:val="en-US" w:eastAsia="pt-BR"/>
                <w14:ligatures w14:val="none"/>
              </w:rPr>
              <w:t xml:space="preserve"> regarding the regulation of </w:t>
            </w:r>
            <w:r w:rsidRPr="00097E69">
              <w:rPr>
                <w:rFonts w:ascii="Times New Roman" w:eastAsia="Times New Roman" w:hAnsi="Times New Roman" w:cs="Times New Roman"/>
                <w:color w:val="000000"/>
                <w:kern w:val="0"/>
                <w:lang w:val="en-US" w:eastAsia="pt-BR"/>
                <w14:ligatures w14:val="none"/>
              </w:rPr>
              <w:lastRenderedPageBreak/>
              <w:t>selection and appointment of employees.</w:t>
            </w:r>
          </w:p>
        </w:tc>
        <w:tc>
          <w:tcPr>
            <w:tcW w:w="3047" w:type="dxa"/>
            <w:shd w:val="clear" w:color="auto" w:fill="auto"/>
            <w:noWrap/>
          </w:tcPr>
          <w:p w14:paraId="06C17E35" w14:textId="2E8BC0A1"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c>
          <w:tcPr>
            <w:tcW w:w="3047" w:type="dxa"/>
          </w:tcPr>
          <w:p w14:paraId="0BAD7DAF" w14:textId="240A0CF3"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c>
          <w:tcPr>
            <w:tcW w:w="3048" w:type="dxa"/>
          </w:tcPr>
          <w:p w14:paraId="48BD5296" w14:textId="254A0762"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r>
      <w:tr w:rsidR="00F86EB7" w:rsidRPr="009B5F67" w14:paraId="7A4A12BC" w14:textId="22161258" w:rsidTr="00F86EB7">
        <w:trPr>
          <w:trHeight w:val="288"/>
        </w:trPr>
        <w:tc>
          <w:tcPr>
            <w:tcW w:w="1555" w:type="dxa"/>
            <w:shd w:val="clear" w:color="auto" w:fill="auto"/>
            <w:noWrap/>
            <w:vAlign w:val="center"/>
            <w:hideMark/>
          </w:tcPr>
          <w:p w14:paraId="5288FB59" w14:textId="77777777" w:rsidR="00F86EB7" w:rsidRPr="00627BA5" w:rsidRDefault="00F86EB7" w:rsidP="00F86EB7">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23</w:t>
            </w:r>
          </w:p>
        </w:tc>
        <w:tc>
          <w:tcPr>
            <w:tcW w:w="3047" w:type="dxa"/>
          </w:tcPr>
          <w:p w14:paraId="7B3E70A5" w14:textId="1C205161" w:rsidR="00F86EB7" w:rsidRPr="00FF6333" w:rsidRDefault="00097E69"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097E69">
              <w:rPr>
                <w:rFonts w:ascii="Times New Roman" w:eastAsia="Times New Roman" w:hAnsi="Times New Roman" w:cs="Times New Roman"/>
                <w:color w:val="000000"/>
                <w:kern w:val="0"/>
                <w:lang w:val="en-US" w:eastAsia="pt-BR"/>
                <w14:ligatures w14:val="none"/>
              </w:rPr>
              <w:t xml:space="preserve">Analyze the relevance of maintaining or not this </w:t>
            </w:r>
            <w:r>
              <w:rPr>
                <w:rFonts w:ascii="Times New Roman" w:eastAsia="Times New Roman" w:hAnsi="Times New Roman" w:cs="Times New Roman"/>
                <w:color w:val="000000"/>
                <w:kern w:val="0"/>
                <w:lang w:val="en-US" w:eastAsia="pt-BR"/>
                <w14:ligatures w14:val="none"/>
              </w:rPr>
              <w:t>question</w:t>
            </w:r>
            <w:r w:rsidRPr="00097E69">
              <w:rPr>
                <w:rFonts w:ascii="Times New Roman" w:eastAsia="Times New Roman" w:hAnsi="Times New Roman" w:cs="Times New Roman"/>
                <w:color w:val="000000"/>
                <w:kern w:val="0"/>
                <w:lang w:val="en-US" w:eastAsia="pt-BR"/>
                <w14:ligatures w14:val="none"/>
              </w:rPr>
              <w:t xml:space="preserve">, or if it could be covered by the existing </w:t>
            </w:r>
            <w:r>
              <w:rPr>
                <w:rFonts w:ascii="Times New Roman" w:eastAsia="Times New Roman" w:hAnsi="Times New Roman" w:cs="Times New Roman"/>
                <w:color w:val="000000"/>
                <w:kern w:val="0"/>
                <w:lang w:val="en-US" w:eastAsia="pt-BR"/>
                <w14:ligatures w14:val="none"/>
              </w:rPr>
              <w:t>one</w:t>
            </w:r>
            <w:r w:rsidRPr="00097E69">
              <w:rPr>
                <w:rFonts w:ascii="Times New Roman" w:eastAsia="Times New Roman" w:hAnsi="Times New Roman" w:cs="Times New Roman"/>
                <w:color w:val="000000"/>
                <w:kern w:val="0"/>
                <w:lang w:val="en-US" w:eastAsia="pt-BR"/>
                <w14:ligatures w14:val="none"/>
              </w:rPr>
              <w:t xml:space="preserve"> regarding the regulation of selection and appointment of employees.</w:t>
            </w:r>
          </w:p>
        </w:tc>
        <w:tc>
          <w:tcPr>
            <w:tcW w:w="3047" w:type="dxa"/>
            <w:shd w:val="clear" w:color="auto" w:fill="auto"/>
            <w:noWrap/>
          </w:tcPr>
          <w:p w14:paraId="6C1F6E14" w14:textId="6B496F44"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c>
          <w:tcPr>
            <w:tcW w:w="3047" w:type="dxa"/>
          </w:tcPr>
          <w:p w14:paraId="41F82CDF" w14:textId="6294550D"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c>
          <w:tcPr>
            <w:tcW w:w="3048" w:type="dxa"/>
          </w:tcPr>
          <w:p w14:paraId="43CA893E" w14:textId="45AB9588"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r>
      <w:tr w:rsidR="00F86EB7" w:rsidRPr="009B5F67" w14:paraId="6DD549A5" w14:textId="4BFFF01B" w:rsidTr="00F86EB7">
        <w:trPr>
          <w:trHeight w:val="288"/>
        </w:trPr>
        <w:tc>
          <w:tcPr>
            <w:tcW w:w="1555" w:type="dxa"/>
            <w:shd w:val="clear" w:color="auto" w:fill="auto"/>
            <w:noWrap/>
            <w:vAlign w:val="center"/>
            <w:hideMark/>
          </w:tcPr>
          <w:p w14:paraId="06BDAFAF" w14:textId="77777777" w:rsidR="00F86EB7" w:rsidRPr="00627BA5" w:rsidRDefault="00F86EB7" w:rsidP="00F86EB7">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24</w:t>
            </w:r>
          </w:p>
        </w:tc>
        <w:tc>
          <w:tcPr>
            <w:tcW w:w="3047" w:type="dxa"/>
          </w:tcPr>
          <w:p w14:paraId="7EB9D7F1" w14:textId="122D38AB" w:rsidR="00F86EB7" w:rsidRPr="00336A28" w:rsidRDefault="00097E69"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097E69">
              <w:rPr>
                <w:rFonts w:ascii="Times New Roman" w:eastAsia="Times New Roman" w:hAnsi="Times New Roman" w:cs="Times New Roman"/>
                <w:color w:val="000000"/>
                <w:kern w:val="0"/>
                <w:lang w:val="en-US" w:eastAsia="pt-BR"/>
                <w14:ligatures w14:val="none"/>
              </w:rPr>
              <w:t>Insert in maturity level 4, as a differentiator, the existence of a central unit that coordinates and standardizes the flow of accountability processes.</w:t>
            </w:r>
          </w:p>
        </w:tc>
        <w:tc>
          <w:tcPr>
            <w:tcW w:w="3047" w:type="dxa"/>
            <w:shd w:val="clear" w:color="auto" w:fill="auto"/>
            <w:noWrap/>
          </w:tcPr>
          <w:p w14:paraId="360989F1" w14:textId="25746E57"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336A28">
              <w:rPr>
                <w:rFonts w:ascii="Times New Roman" w:eastAsia="Times New Roman" w:hAnsi="Times New Roman" w:cs="Times New Roman"/>
                <w:color w:val="000000"/>
                <w:kern w:val="0"/>
                <w:lang w:val="en-US" w:eastAsia="pt-BR"/>
                <w14:ligatures w14:val="none"/>
              </w:rPr>
              <w:t xml:space="preserve">The existence of the reporting channel and the regulation of the treatment already qualify the entity at maturity level 3. Level 4 is already achieved with the simple inclusion in the regulation of the treatment to be given in the case of contracts. Thus, the levels were realigned, combining levels 1 and 2 and inserting in a new level 4 the possibility of verifying the effectiveness of the implementation of this </w:t>
            </w:r>
            <w:r>
              <w:rPr>
                <w:rFonts w:ascii="Times New Roman" w:eastAsia="Times New Roman" w:hAnsi="Times New Roman" w:cs="Times New Roman"/>
                <w:color w:val="000000"/>
                <w:kern w:val="0"/>
                <w:lang w:val="en-US" w:eastAsia="pt-BR"/>
                <w14:ligatures w14:val="none"/>
              </w:rPr>
              <w:t>process</w:t>
            </w:r>
            <w:r w:rsidRPr="00336A28">
              <w:rPr>
                <w:rFonts w:ascii="Times New Roman" w:eastAsia="Times New Roman" w:hAnsi="Times New Roman" w:cs="Times New Roman"/>
                <w:color w:val="000000"/>
                <w:kern w:val="0"/>
                <w:lang w:val="en-US" w:eastAsia="pt-BR"/>
                <w14:ligatures w14:val="none"/>
              </w:rPr>
              <w:t>.</w:t>
            </w:r>
          </w:p>
        </w:tc>
        <w:tc>
          <w:tcPr>
            <w:tcW w:w="3047" w:type="dxa"/>
          </w:tcPr>
          <w:p w14:paraId="2FA1B16E" w14:textId="11C4499C"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4B6D34">
              <w:rPr>
                <w:rFonts w:ascii="Times New Roman" w:eastAsia="Times New Roman" w:hAnsi="Times New Roman" w:cs="Times New Roman"/>
                <w:color w:val="000000"/>
                <w:kern w:val="0"/>
                <w:lang w:val="en-US" w:eastAsia="pt-BR"/>
                <w14:ligatures w14:val="none"/>
              </w:rPr>
              <w:t>The existence of the reporting channel and the regulation of the treatment already place the entity at maturity level 3. Level 4 is already achieved with the simple inclusion in the regulation of the treatment to be given in the case of contracts. Thus, it was sought to realign the levels, combining levels 1 and 2 and inserting in a new level 4 the possibility of verifying the effectiveness of the implementation of this flow.</w:t>
            </w:r>
          </w:p>
        </w:tc>
        <w:tc>
          <w:tcPr>
            <w:tcW w:w="3048" w:type="dxa"/>
          </w:tcPr>
          <w:p w14:paraId="34AB1AD2" w14:textId="6A732D70"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r>
      <w:tr w:rsidR="00F86EB7" w:rsidRPr="009B5F67" w14:paraId="043F2DE8" w14:textId="2330AA0E" w:rsidTr="00F86EB7">
        <w:trPr>
          <w:trHeight w:val="288"/>
        </w:trPr>
        <w:tc>
          <w:tcPr>
            <w:tcW w:w="1555" w:type="dxa"/>
            <w:shd w:val="clear" w:color="auto" w:fill="auto"/>
            <w:noWrap/>
            <w:vAlign w:val="center"/>
            <w:hideMark/>
          </w:tcPr>
          <w:p w14:paraId="2A773E9F" w14:textId="77777777" w:rsidR="00F86EB7" w:rsidRPr="00627BA5" w:rsidRDefault="00F86EB7" w:rsidP="00F86EB7">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25</w:t>
            </w:r>
          </w:p>
        </w:tc>
        <w:tc>
          <w:tcPr>
            <w:tcW w:w="3047" w:type="dxa"/>
          </w:tcPr>
          <w:p w14:paraId="63D72BB7" w14:textId="74CBF7CD" w:rsidR="00F86EB7" w:rsidRPr="00336A28" w:rsidRDefault="00097E69"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097E69">
              <w:rPr>
                <w:rFonts w:ascii="Times New Roman" w:eastAsia="Times New Roman" w:hAnsi="Times New Roman" w:cs="Times New Roman"/>
                <w:color w:val="000000"/>
                <w:kern w:val="0"/>
                <w:lang w:val="en-US" w:eastAsia="pt-BR"/>
                <w14:ligatures w14:val="none"/>
              </w:rPr>
              <w:t>Insert in maturity level 4, as a differentiator, the existence of a central unit that coordinates and standardizes the accountability.</w:t>
            </w:r>
          </w:p>
        </w:tc>
        <w:tc>
          <w:tcPr>
            <w:tcW w:w="3047" w:type="dxa"/>
            <w:shd w:val="clear" w:color="auto" w:fill="auto"/>
            <w:noWrap/>
          </w:tcPr>
          <w:p w14:paraId="3BAA2105" w14:textId="3A9E3EAC"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336A28">
              <w:rPr>
                <w:rFonts w:ascii="Times New Roman" w:eastAsia="Times New Roman" w:hAnsi="Times New Roman" w:cs="Times New Roman"/>
                <w:color w:val="000000"/>
                <w:kern w:val="0"/>
                <w:lang w:val="en-US" w:eastAsia="pt-BR"/>
                <w14:ligatures w14:val="none"/>
              </w:rPr>
              <w:t>It is relevant to characterize at maturity level 4 that the participatory arrangement must impact specific contracts, characterizing shared planning.</w:t>
            </w:r>
          </w:p>
        </w:tc>
        <w:tc>
          <w:tcPr>
            <w:tcW w:w="3047" w:type="dxa"/>
          </w:tcPr>
          <w:p w14:paraId="2476FF9F" w14:textId="6680DC90"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4B6D34">
              <w:rPr>
                <w:rFonts w:ascii="Times New Roman" w:eastAsia="Times New Roman" w:hAnsi="Times New Roman" w:cs="Times New Roman"/>
                <w:color w:val="000000"/>
                <w:kern w:val="0"/>
                <w:lang w:val="en-US" w:eastAsia="pt-BR"/>
                <w14:ligatures w14:val="none"/>
              </w:rPr>
              <w:t xml:space="preserve">The idea of impact on the contract flow exposed in the text may make the analysis too broad. Modify the text to make it clear that participatory arrangements </w:t>
            </w:r>
            <w:r w:rsidRPr="004B6D34">
              <w:rPr>
                <w:rFonts w:ascii="Times New Roman" w:eastAsia="Times New Roman" w:hAnsi="Times New Roman" w:cs="Times New Roman"/>
                <w:color w:val="000000"/>
                <w:kern w:val="0"/>
                <w:lang w:val="en-US" w:eastAsia="pt-BR"/>
                <w14:ligatures w14:val="none"/>
              </w:rPr>
              <w:lastRenderedPageBreak/>
              <w:t>should demonstrate specific action in the planning or selection of public contracts.</w:t>
            </w:r>
          </w:p>
        </w:tc>
        <w:tc>
          <w:tcPr>
            <w:tcW w:w="3048" w:type="dxa"/>
          </w:tcPr>
          <w:p w14:paraId="1CF8A4AB" w14:textId="7D643AE7"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E54711">
              <w:rPr>
                <w:rFonts w:ascii="Times New Roman" w:eastAsia="Times New Roman" w:hAnsi="Times New Roman" w:cs="Times New Roman"/>
                <w:color w:val="000000"/>
                <w:kern w:val="0"/>
                <w:lang w:val="en-US" w:eastAsia="pt-BR"/>
                <w14:ligatures w14:val="none"/>
              </w:rPr>
              <w:lastRenderedPageBreak/>
              <w:t>Reorganize the maturity levels to make the classification at each level clearer.</w:t>
            </w:r>
          </w:p>
        </w:tc>
      </w:tr>
      <w:tr w:rsidR="00F86EB7" w:rsidRPr="009B5F67" w14:paraId="14470BFB" w14:textId="09D1F5D6" w:rsidTr="00F86EB7">
        <w:trPr>
          <w:trHeight w:val="288"/>
        </w:trPr>
        <w:tc>
          <w:tcPr>
            <w:tcW w:w="1555" w:type="dxa"/>
            <w:shd w:val="clear" w:color="auto" w:fill="auto"/>
            <w:noWrap/>
            <w:vAlign w:val="center"/>
            <w:hideMark/>
          </w:tcPr>
          <w:p w14:paraId="06D0DB53" w14:textId="77777777" w:rsidR="00F86EB7" w:rsidRPr="00627BA5" w:rsidRDefault="00F86EB7" w:rsidP="00F86EB7">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26</w:t>
            </w:r>
          </w:p>
        </w:tc>
        <w:tc>
          <w:tcPr>
            <w:tcW w:w="3047" w:type="dxa"/>
          </w:tcPr>
          <w:p w14:paraId="4BC7B32B" w14:textId="77777777" w:rsidR="00F86EB7" w:rsidRPr="00336A28"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c>
          <w:tcPr>
            <w:tcW w:w="3047" w:type="dxa"/>
            <w:shd w:val="clear" w:color="auto" w:fill="auto"/>
            <w:noWrap/>
          </w:tcPr>
          <w:p w14:paraId="157AC1EB" w14:textId="50B50683"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336A28">
              <w:rPr>
                <w:rFonts w:ascii="Times New Roman" w:eastAsia="Times New Roman" w:hAnsi="Times New Roman" w:cs="Times New Roman"/>
                <w:color w:val="000000"/>
                <w:kern w:val="0"/>
                <w:lang w:val="en-US" w:eastAsia="pt-BR"/>
                <w14:ligatures w14:val="none"/>
              </w:rPr>
              <w:t>The action of the FUNDEB council in certain contracts already placed the entity at maturity level 3. Thus, the maturity levels were realigned, indicating at level 2 this sporadic and unregulated action of certain councils; including at level 3 if the action of these councils in monitoring contracts is systematic and regulated; and at level 4 when there is a specific tool or arrangement for the shared management of certain contracts.</w:t>
            </w:r>
          </w:p>
        </w:tc>
        <w:tc>
          <w:tcPr>
            <w:tcW w:w="3047" w:type="dxa"/>
          </w:tcPr>
          <w:p w14:paraId="216688B4" w14:textId="67CF4DD0"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4B6D34">
              <w:rPr>
                <w:rFonts w:ascii="Times New Roman" w:eastAsia="Times New Roman" w:hAnsi="Times New Roman" w:cs="Times New Roman"/>
                <w:color w:val="000000"/>
                <w:kern w:val="0"/>
                <w:lang w:val="en-US" w:eastAsia="pt-BR"/>
                <w14:ligatures w14:val="none"/>
              </w:rPr>
              <w:t>Reorganize the texts of the maturity levels to make the classification at each level clearer.</w:t>
            </w:r>
          </w:p>
        </w:tc>
        <w:tc>
          <w:tcPr>
            <w:tcW w:w="3048" w:type="dxa"/>
          </w:tcPr>
          <w:p w14:paraId="56D0D1AE" w14:textId="08D4F1AD"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E54711">
              <w:rPr>
                <w:rFonts w:ascii="Times New Roman" w:eastAsia="Times New Roman" w:hAnsi="Times New Roman" w:cs="Times New Roman"/>
                <w:color w:val="000000"/>
                <w:kern w:val="0"/>
                <w:lang w:val="en-US" w:eastAsia="pt-BR"/>
                <w14:ligatures w14:val="none"/>
              </w:rPr>
              <w:t>Reorganize the texts of the maturity levels to make the classification at each level clearer.</w:t>
            </w:r>
          </w:p>
        </w:tc>
      </w:tr>
      <w:tr w:rsidR="00F86EB7" w:rsidRPr="00FF6333" w14:paraId="241F697B" w14:textId="2408F03B" w:rsidTr="00F86EB7">
        <w:trPr>
          <w:trHeight w:val="288"/>
        </w:trPr>
        <w:tc>
          <w:tcPr>
            <w:tcW w:w="1555" w:type="dxa"/>
            <w:shd w:val="clear" w:color="auto" w:fill="auto"/>
            <w:noWrap/>
            <w:vAlign w:val="center"/>
            <w:hideMark/>
          </w:tcPr>
          <w:p w14:paraId="04A36A1D" w14:textId="77777777" w:rsidR="00F86EB7" w:rsidRPr="00627BA5" w:rsidRDefault="00F86EB7" w:rsidP="00F86EB7">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27</w:t>
            </w:r>
          </w:p>
        </w:tc>
        <w:tc>
          <w:tcPr>
            <w:tcW w:w="3047" w:type="dxa"/>
          </w:tcPr>
          <w:p w14:paraId="4C829007" w14:textId="77777777"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c>
          <w:tcPr>
            <w:tcW w:w="3047" w:type="dxa"/>
            <w:shd w:val="clear" w:color="auto" w:fill="auto"/>
            <w:noWrap/>
          </w:tcPr>
          <w:p w14:paraId="0C2A8A6B" w14:textId="473161D2"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c>
          <w:tcPr>
            <w:tcW w:w="3047" w:type="dxa"/>
          </w:tcPr>
          <w:p w14:paraId="42725E84" w14:textId="52405FF4"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c>
          <w:tcPr>
            <w:tcW w:w="3048" w:type="dxa"/>
          </w:tcPr>
          <w:p w14:paraId="05F4D01E" w14:textId="6C59F607"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r>
      <w:tr w:rsidR="00F86EB7" w:rsidRPr="00FF6333" w14:paraId="07084F47" w14:textId="1BE0C9B8" w:rsidTr="00F86EB7">
        <w:trPr>
          <w:trHeight w:val="288"/>
        </w:trPr>
        <w:tc>
          <w:tcPr>
            <w:tcW w:w="1555" w:type="dxa"/>
            <w:shd w:val="clear" w:color="auto" w:fill="auto"/>
            <w:noWrap/>
            <w:vAlign w:val="center"/>
            <w:hideMark/>
          </w:tcPr>
          <w:p w14:paraId="641E4FED" w14:textId="77777777" w:rsidR="00F86EB7" w:rsidRPr="00627BA5" w:rsidRDefault="00F86EB7" w:rsidP="00F86EB7">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28</w:t>
            </w:r>
          </w:p>
        </w:tc>
        <w:tc>
          <w:tcPr>
            <w:tcW w:w="3047" w:type="dxa"/>
          </w:tcPr>
          <w:p w14:paraId="65EE4178" w14:textId="77777777"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c>
          <w:tcPr>
            <w:tcW w:w="3047" w:type="dxa"/>
            <w:shd w:val="clear" w:color="auto" w:fill="auto"/>
            <w:noWrap/>
          </w:tcPr>
          <w:p w14:paraId="79ED126F" w14:textId="47DC351C"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c>
          <w:tcPr>
            <w:tcW w:w="3047" w:type="dxa"/>
          </w:tcPr>
          <w:p w14:paraId="0A824F68" w14:textId="1A1178B4"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c>
          <w:tcPr>
            <w:tcW w:w="3048" w:type="dxa"/>
          </w:tcPr>
          <w:p w14:paraId="19A761E0" w14:textId="479AD606"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r>
      <w:tr w:rsidR="00F86EB7" w:rsidRPr="00FF6333" w14:paraId="694D6182" w14:textId="45629389" w:rsidTr="00F86EB7">
        <w:trPr>
          <w:trHeight w:val="288"/>
        </w:trPr>
        <w:tc>
          <w:tcPr>
            <w:tcW w:w="1555" w:type="dxa"/>
            <w:shd w:val="clear" w:color="auto" w:fill="auto"/>
            <w:noWrap/>
            <w:vAlign w:val="center"/>
            <w:hideMark/>
          </w:tcPr>
          <w:p w14:paraId="64D61415" w14:textId="77777777" w:rsidR="00F86EB7" w:rsidRPr="00627BA5" w:rsidRDefault="00F86EB7" w:rsidP="00F86EB7">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29</w:t>
            </w:r>
          </w:p>
        </w:tc>
        <w:tc>
          <w:tcPr>
            <w:tcW w:w="3047" w:type="dxa"/>
          </w:tcPr>
          <w:p w14:paraId="7AAB8810" w14:textId="77777777"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c>
          <w:tcPr>
            <w:tcW w:w="3047" w:type="dxa"/>
            <w:shd w:val="clear" w:color="auto" w:fill="auto"/>
            <w:noWrap/>
          </w:tcPr>
          <w:p w14:paraId="03CD59CD" w14:textId="005291AF"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c>
          <w:tcPr>
            <w:tcW w:w="3047" w:type="dxa"/>
          </w:tcPr>
          <w:p w14:paraId="0B9FCF9E" w14:textId="56D47895"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c>
          <w:tcPr>
            <w:tcW w:w="3048" w:type="dxa"/>
          </w:tcPr>
          <w:p w14:paraId="71C2BB58" w14:textId="32ED5B4D" w:rsidR="00F86EB7" w:rsidRPr="00FF633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r>
      <w:tr w:rsidR="00F86EB7" w:rsidRPr="009B5F67" w14:paraId="487C1D45" w14:textId="569A113C" w:rsidTr="00F86EB7">
        <w:trPr>
          <w:trHeight w:val="288"/>
        </w:trPr>
        <w:tc>
          <w:tcPr>
            <w:tcW w:w="1555" w:type="dxa"/>
            <w:shd w:val="clear" w:color="auto" w:fill="auto"/>
            <w:noWrap/>
            <w:vAlign w:val="center"/>
            <w:hideMark/>
          </w:tcPr>
          <w:p w14:paraId="58A2A971" w14:textId="77777777" w:rsidR="00F86EB7" w:rsidRPr="00627BA5" w:rsidRDefault="00F86EB7" w:rsidP="00F86EB7">
            <w:pPr>
              <w:spacing w:after="0" w:line="240" w:lineRule="auto"/>
              <w:jc w:val="center"/>
              <w:rPr>
                <w:rFonts w:ascii="Times New Roman" w:eastAsia="Times New Roman" w:hAnsi="Times New Roman" w:cs="Times New Roman"/>
                <w:color w:val="000000"/>
                <w:kern w:val="0"/>
                <w:lang w:eastAsia="pt-BR"/>
                <w14:ligatures w14:val="none"/>
              </w:rPr>
            </w:pPr>
            <w:r w:rsidRPr="00627BA5">
              <w:rPr>
                <w:rFonts w:ascii="Times New Roman" w:eastAsia="Times New Roman" w:hAnsi="Times New Roman" w:cs="Times New Roman"/>
                <w:color w:val="000000"/>
                <w:kern w:val="0"/>
                <w:lang w:eastAsia="pt-BR"/>
                <w14:ligatures w14:val="none"/>
              </w:rPr>
              <w:t>30</w:t>
            </w:r>
          </w:p>
        </w:tc>
        <w:tc>
          <w:tcPr>
            <w:tcW w:w="3047" w:type="dxa"/>
          </w:tcPr>
          <w:p w14:paraId="25FBE2B6" w14:textId="4F6743E5" w:rsidR="00F86EB7" w:rsidRPr="00336A28" w:rsidRDefault="00097E69"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097E69">
              <w:rPr>
                <w:rFonts w:ascii="Times New Roman" w:eastAsia="Times New Roman" w:hAnsi="Times New Roman" w:cs="Times New Roman"/>
                <w:color w:val="000000"/>
                <w:kern w:val="0"/>
                <w:lang w:val="en-US" w:eastAsia="pt-BR"/>
                <w14:ligatures w14:val="none"/>
              </w:rPr>
              <w:t xml:space="preserve">Reorganize the order of items in the model and place this </w:t>
            </w:r>
            <w:r>
              <w:rPr>
                <w:rFonts w:ascii="Times New Roman" w:eastAsia="Times New Roman" w:hAnsi="Times New Roman" w:cs="Times New Roman"/>
                <w:color w:val="000000"/>
                <w:kern w:val="0"/>
                <w:lang w:val="en-US" w:eastAsia="pt-BR"/>
                <w14:ligatures w14:val="none"/>
              </w:rPr>
              <w:t>question</w:t>
            </w:r>
            <w:r w:rsidRPr="00097E69">
              <w:rPr>
                <w:rFonts w:ascii="Times New Roman" w:eastAsia="Times New Roman" w:hAnsi="Times New Roman" w:cs="Times New Roman"/>
                <w:color w:val="000000"/>
                <w:kern w:val="0"/>
                <w:lang w:val="en-US" w:eastAsia="pt-BR"/>
                <w14:ligatures w14:val="none"/>
              </w:rPr>
              <w:t xml:space="preserve"> next to the </w:t>
            </w:r>
            <w:r>
              <w:rPr>
                <w:rFonts w:ascii="Times New Roman" w:eastAsia="Times New Roman" w:hAnsi="Times New Roman" w:cs="Times New Roman"/>
                <w:color w:val="000000"/>
                <w:kern w:val="0"/>
                <w:lang w:val="en-US" w:eastAsia="pt-BR"/>
                <w14:ligatures w14:val="none"/>
              </w:rPr>
              <w:t>one</w:t>
            </w:r>
            <w:r w:rsidRPr="00097E69">
              <w:rPr>
                <w:rFonts w:ascii="Times New Roman" w:eastAsia="Times New Roman" w:hAnsi="Times New Roman" w:cs="Times New Roman"/>
                <w:color w:val="000000"/>
                <w:kern w:val="0"/>
                <w:lang w:val="en-US" w:eastAsia="pt-BR"/>
                <w14:ligatures w14:val="none"/>
              </w:rPr>
              <w:t xml:space="preserve"> on occurrence recording, as these were discussions that ended up being addressed together in the </w:t>
            </w:r>
            <w:r>
              <w:rPr>
                <w:rFonts w:ascii="Times New Roman" w:eastAsia="Times New Roman" w:hAnsi="Times New Roman" w:cs="Times New Roman"/>
                <w:color w:val="000000"/>
                <w:kern w:val="0"/>
                <w:lang w:val="en-US" w:eastAsia="pt-BR"/>
                <w14:ligatures w14:val="none"/>
              </w:rPr>
              <w:t>panel</w:t>
            </w:r>
            <w:r w:rsidRPr="00097E69">
              <w:rPr>
                <w:rFonts w:ascii="Times New Roman" w:eastAsia="Times New Roman" w:hAnsi="Times New Roman" w:cs="Times New Roman"/>
                <w:color w:val="000000"/>
                <w:kern w:val="0"/>
                <w:lang w:val="en-US" w:eastAsia="pt-BR"/>
                <w14:ligatures w14:val="none"/>
              </w:rPr>
              <w:t>.</w:t>
            </w:r>
          </w:p>
        </w:tc>
        <w:tc>
          <w:tcPr>
            <w:tcW w:w="3047" w:type="dxa"/>
            <w:shd w:val="clear" w:color="auto" w:fill="auto"/>
            <w:noWrap/>
          </w:tcPr>
          <w:p w14:paraId="734B3F7F" w14:textId="218FD570" w:rsidR="00F86EB7" w:rsidRPr="0095057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r w:rsidRPr="00336A28">
              <w:rPr>
                <w:rFonts w:ascii="Times New Roman" w:eastAsia="Times New Roman" w:hAnsi="Times New Roman" w:cs="Times New Roman"/>
                <w:color w:val="000000"/>
                <w:kern w:val="0"/>
                <w:lang w:val="en-US" w:eastAsia="pt-BR"/>
                <w14:ligatures w14:val="none"/>
              </w:rPr>
              <w:t xml:space="preserve">There was a need to discuss the existence of certain contractual </w:t>
            </w:r>
            <w:r>
              <w:rPr>
                <w:rFonts w:ascii="Times New Roman" w:eastAsia="Times New Roman" w:hAnsi="Times New Roman" w:cs="Times New Roman"/>
                <w:color w:val="000000"/>
                <w:kern w:val="0"/>
                <w:lang w:val="en-US" w:eastAsia="pt-BR"/>
                <w14:ligatures w14:val="none"/>
              </w:rPr>
              <w:t>management</w:t>
            </w:r>
            <w:r w:rsidRPr="00336A28">
              <w:rPr>
                <w:rFonts w:ascii="Times New Roman" w:eastAsia="Times New Roman" w:hAnsi="Times New Roman" w:cs="Times New Roman"/>
                <w:color w:val="000000"/>
                <w:kern w:val="0"/>
                <w:lang w:val="en-US" w:eastAsia="pt-BR"/>
                <w14:ligatures w14:val="none"/>
              </w:rPr>
              <w:t xml:space="preserve"> information. However, this would require detailing with new transparency verification </w:t>
            </w:r>
            <w:r>
              <w:rPr>
                <w:rFonts w:ascii="Times New Roman" w:eastAsia="Times New Roman" w:hAnsi="Times New Roman" w:cs="Times New Roman"/>
                <w:color w:val="000000"/>
                <w:kern w:val="0"/>
                <w:lang w:val="en-US" w:eastAsia="pt-BR"/>
                <w14:ligatures w14:val="none"/>
              </w:rPr>
              <w:t>questions</w:t>
            </w:r>
            <w:r w:rsidRPr="00336A28">
              <w:rPr>
                <w:rFonts w:ascii="Times New Roman" w:eastAsia="Times New Roman" w:hAnsi="Times New Roman" w:cs="Times New Roman"/>
                <w:color w:val="000000"/>
                <w:kern w:val="0"/>
                <w:lang w:val="en-US" w:eastAsia="pt-BR"/>
                <w14:ligatures w14:val="none"/>
              </w:rPr>
              <w:t xml:space="preserve">, and would deviate </w:t>
            </w:r>
            <w:r w:rsidRPr="00336A28">
              <w:rPr>
                <w:rFonts w:ascii="Times New Roman" w:eastAsia="Times New Roman" w:hAnsi="Times New Roman" w:cs="Times New Roman"/>
                <w:color w:val="000000"/>
                <w:kern w:val="0"/>
                <w:lang w:val="en-US" w:eastAsia="pt-BR"/>
                <w14:ligatures w14:val="none"/>
              </w:rPr>
              <w:lastRenderedPageBreak/>
              <w:t xml:space="preserve">too much from the focus of the </w:t>
            </w:r>
            <w:r>
              <w:rPr>
                <w:rFonts w:ascii="Times New Roman" w:eastAsia="Times New Roman" w:hAnsi="Times New Roman" w:cs="Times New Roman"/>
                <w:color w:val="000000"/>
                <w:kern w:val="0"/>
                <w:lang w:val="en-US" w:eastAsia="pt-BR"/>
                <w14:ligatures w14:val="none"/>
              </w:rPr>
              <w:t>maturity model</w:t>
            </w:r>
            <w:r w:rsidRPr="00336A28">
              <w:rPr>
                <w:rFonts w:ascii="Times New Roman" w:eastAsia="Times New Roman" w:hAnsi="Times New Roman" w:cs="Times New Roman"/>
                <w:color w:val="000000"/>
                <w:kern w:val="0"/>
                <w:lang w:val="en-US" w:eastAsia="pt-BR"/>
                <w14:ligatures w14:val="none"/>
              </w:rPr>
              <w:t>.</w:t>
            </w:r>
          </w:p>
        </w:tc>
        <w:tc>
          <w:tcPr>
            <w:tcW w:w="3047" w:type="dxa"/>
          </w:tcPr>
          <w:p w14:paraId="6E55E2FD" w14:textId="616A1946" w:rsidR="00F86EB7" w:rsidRPr="00950573" w:rsidRDefault="00F86EB7" w:rsidP="00F86EB7">
            <w:pPr>
              <w:spacing w:after="0" w:line="240" w:lineRule="auto"/>
              <w:jc w:val="center"/>
              <w:rPr>
                <w:rFonts w:ascii="Times New Roman" w:eastAsia="Times New Roman" w:hAnsi="Times New Roman" w:cs="Times New Roman"/>
                <w:color w:val="000000"/>
                <w:kern w:val="0"/>
                <w:lang w:val="en-US" w:eastAsia="pt-BR"/>
                <w14:ligatures w14:val="none"/>
              </w:rPr>
            </w:pPr>
          </w:p>
        </w:tc>
        <w:tc>
          <w:tcPr>
            <w:tcW w:w="3048" w:type="dxa"/>
          </w:tcPr>
          <w:p w14:paraId="6F9404C8" w14:textId="77777777" w:rsidR="00F86EB7" w:rsidRPr="00D25F96" w:rsidRDefault="00F86EB7" w:rsidP="00F86EB7">
            <w:pPr>
              <w:jc w:val="center"/>
              <w:rPr>
                <w:rFonts w:ascii="Times New Roman" w:eastAsia="Times New Roman" w:hAnsi="Times New Roman" w:cs="Times New Roman"/>
                <w:lang w:val="en-US" w:eastAsia="pt-BR"/>
              </w:rPr>
            </w:pPr>
          </w:p>
        </w:tc>
      </w:tr>
    </w:tbl>
    <w:p w14:paraId="71CC305F" w14:textId="29B36F44" w:rsidR="00627BA5" w:rsidRPr="00950573" w:rsidRDefault="001B7026">
      <w:pPr>
        <w:rPr>
          <w:rFonts w:ascii="Times New Roman" w:hAnsi="Times New Roman" w:cs="Times New Roman"/>
          <w:lang w:val="en-US"/>
        </w:rPr>
      </w:pPr>
      <w:r>
        <w:rPr>
          <w:rFonts w:ascii="Times New Roman" w:hAnsi="Times New Roman" w:cs="Times New Roman"/>
          <w:lang w:val="en-US"/>
        </w:rPr>
        <w:t>Source: Authors.</w:t>
      </w:r>
    </w:p>
    <w:sectPr w:rsidR="00627BA5" w:rsidRPr="00950573" w:rsidSect="001812C2">
      <w:pgSz w:w="16838" w:h="11906" w:orient="landscape"/>
      <w:pgMar w:top="1701" w:right="1417" w:bottom="1701"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BA5"/>
    <w:rsid w:val="00097E69"/>
    <w:rsid w:val="000B6801"/>
    <w:rsid w:val="001812C2"/>
    <w:rsid w:val="001B7026"/>
    <w:rsid w:val="00327DC0"/>
    <w:rsid w:val="00336A28"/>
    <w:rsid w:val="00416D64"/>
    <w:rsid w:val="004B6D34"/>
    <w:rsid w:val="00581506"/>
    <w:rsid w:val="005D6AF2"/>
    <w:rsid w:val="005E4797"/>
    <w:rsid w:val="00627BA5"/>
    <w:rsid w:val="00724880"/>
    <w:rsid w:val="00763540"/>
    <w:rsid w:val="00784E35"/>
    <w:rsid w:val="007B05A2"/>
    <w:rsid w:val="007D4239"/>
    <w:rsid w:val="00806244"/>
    <w:rsid w:val="00950573"/>
    <w:rsid w:val="00974BD4"/>
    <w:rsid w:val="009A43A0"/>
    <w:rsid w:val="009B47EB"/>
    <w:rsid w:val="009B5F67"/>
    <w:rsid w:val="009B717F"/>
    <w:rsid w:val="009C27A2"/>
    <w:rsid w:val="00A00E64"/>
    <w:rsid w:val="00B53B79"/>
    <w:rsid w:val="00D25F96"/>
    <w:rsid w:val="00E54711"/>
    <w:rsid w:val="00F86EB7"/>
    <w:rsid w:val="00FF633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B99377"/>
  <w15:chartTrackingRefBased/>
  <w15:docId w15:val="{BB2E23F9-A41A-4362-86CA-14264DE455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pt-B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627BA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har"/>
    <w:uiPriority w:val="9"/>
    <w:semiHidden/>
    <w:unhideWhenUsed/>
    <w:qFormat/>
    <w:rsid w:val="00627BA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har"/>
    <w:uiPriority w:val="9"/>
    <w:semiHidden/>
    <w:unhideWhenUsed/>
    <w:qFormat/>
    <w:rsid w:val="00627BA5"/>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har"/>
    <w:uiPriority w:val="9"/>
    <w:semiHidden/>
    <w:unhideWhenUsed/>
    <w:qFormat/>
    <w:rsid w:val="00627BA5"/>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har"/>
    <w:uiPriority w:val="9"/>
    <w:semiHidden/>
    <w:unhideWhenUsed/>
    <w:qFormat/>
    <w:rsid w:val="00627BA5"/>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har"/>
    <w:uiPriority w:val="9"/>
    <w:semiHidden/>
    <w:unhideWhenUsed/>
    <w:qFormat/>
    <w:rsid w:val="00627BA5"/>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627BA5"/>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627BA5"/>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627BA5"/>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627BA5"/>
    <w:rPr>
      <w:rFonts w:asciiTheme="majorHAnsi" w:eastAsiaTheme="majorEastAsia" w:hAnsiTheme="majorHAnsi" w:cstheme="majorBidi"/>
      <w:color w:val="0F4761" w:themeColor="accent1" w:themeShade="BF"/>
      <w:sz w:val="40"/>
      <w:szCs w:val="40"/>
    </w:rPr>
  </w:style>
  <w:style w:type="character" w:customStyle="1" w:styleId="Ttulo2Char">
    <w:name w:val="Título 2 Char"/>
    <w:basedOn w:val="Fontepargpadro"/>
    <w:link w:val="Ttulo2"/>
    <w:uiPriority w:val="9"/>
    <w:semiHidden/>
    <w:rsid w:val="00627BA5"/>
    <w:rPr>
      <w:rFonts w:asciiTheme="majorHAnsi" w:eastAsiaTheme="majorEastAsia" w:hAnsiTheme="majorHAnsi" w:cstheme="majorBidi"/>
      <w:color w:val="0F4761" w:themeColor="accent1" w:themeShade="BF"/>
      <w:sz w:val="32"/>
      <w:szCs w:val="32"/>
    </w:rPr>
  </w:style>
  <w:style w:type="character" w:customStyle="1" w:styleId="Ttulo3Char">
    <w:name w:val="Título 3 Char"/>
    <w:basedOn w:val="Fontepargpadro"/>
    <w:link w:val="Ttulo3"/>
    <w:uiPriority w:val="9"/>
    <w:semiHidden/>
    <w:rsid w:val="00627BA5"/>
    <w:rPr>
      <w:rFonts w:eastAsiaTheme="majorEastAsia" w:cstheme="majorBidi"/>
      <w:color w:val="0F4761" w:themeColor="accent1" w:themeShade="BF"/>
      <w:sz w:val="28"/>
      <w:szCs w:val="28"/>
    </w:rPr>
  </w:style>
  <w:style w:type="character" w:customStyle="1" w:styleId="Ttulo4Char">
    <w:name w:val="Título 4 Char"/>
    <w:basedOn w:val="Fontepargpadro"/>
    <w:link w:val="Ttulo4"/>
    <w:uiPriority w:val="9"/>
    <w:semiHidden/>
    <w:rsid w:val="00627BA5"/>
    <w:rPr>
      <w:rFonts w:eastAsiaTheme="majorEastAsia" w:cstheme="majorBidi"/>
      <w:i/>
      <w:iCs/>
      <w:color w:val="0F4761" w:themeColor="accent1" w:themeShade="BF"/>
    </w:rPr>
  </w:style>
  <w:style w:type="character" w:customStyle="1" w:styleId="Ttulo5Char">
    <w:name w:val="Título 5 Char"/>
    <w:basedOn w:val="Fontepargpadro"/>
    <w:link w:val="Ttulo5"/>
    <w:uiPriority w:val="9"/>
    <w:semiHidden/>
    <w:rsid w:val="00627BA5"/>
    <w:rPr>
      <w:rFonts w:eastAsiaTheme="majorEastAsia" w:cstheme="majorBidi"/>
      <w:color w:val="0F4761" w:themeColor="accent1" w:themeShade="BF"/>
    </w:rPr>
  </w:style>
  <w:style w:type="character" w:customStyle="1" w:styleId="Ttulo6Char">
    <w:name w:val="Título 6 Char"/>
    <w:basedOn w:val="Fontepargpadro"/>
    <w:link w:val="Ttulo6"/>
    <w:uiPriority w:val="9"/>
    <w:semiHidden/>
    <w:rsid w:val="00627BA5"/>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627BA5"/>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627BA5"/>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627BA5"/>
    <w:rPr>
      <w:rFonts w:eastAsiaTheme="majorEastAsia" w:cstheme="majorBidi"/>
      <w:color w:val="272727" w:themeColor="text1" w:themeTint="D8"/>
    </w:rPr>
  </w:style>
  <w:style w:type="paragraph" w:styleId="Ttulo">
    <w:name w:val="Title"/>
    <w:basedOn w:val="Normal"/>
    <w:next w:val="Normal"/>
    <w:link w:val="TtuloChar"/>
    <w:uiPriority w:val="10"/>
    <w:qFormat/>
    <w:rsid w:val="00627BA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627BA5"/>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627BA5"/>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627BA5"/>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627BA5"/>
    <w:pPr>
      <w:spacing w:before="160"/>
      <w:jc w:val="center"/>
    </w:pPr>
    <w:rPr>
      <w:i/>
      <w:iCs/>
      <w:color w:val="404040" w:themeColor="text1" w:themeTint="BF"/>
    </w:rPr>
  </w:style>
  <w:style w:type="character" w:customStyle="1" w:styleId="CitaoChar">
    <w:name w:val="Citação Char"/>
    <w:basedOn w:val="Fontepargpadro"/>
    <w:link w:val="Citao"/>
    <w:uiPriority w:val="29"/>
    <w:rsid w:val="00627BA5"/>
    <w:rPr>
      <w:i/>
      <w:iCs/>
      <w:color w:val="404040" w:themeColor="text1" w:themeTint="BF"/>
    </w:rPr>
  </w:style>
  <w:style w:type="paragraph" w:styleId="PargrafodaLista">
    <w:name w:val="List Paragraph"/>
    <w:basedOn w:val="Normal"/>
    <w:uiPriority w:val="34"/>
    <w:qFormat/>
    <w:rsid w:val="00627BA5"/>
    <w:pPr>
      <w:ind w:left="720"/>
      <w:contextualSpacing/>
    </w:pPr>
  </w:style>
  <w:style w:type="character" w:styleId="nfaseIntensa">
    <w:name w:val="Intense Emphasis"/>
    <w:basedOn w:val="Fontepargpadro"/>
    <w:uiPriority w:val="21"/>
    <w:qFormat/>
    <w:rsid w:val="00627BA5"/>
    <w:rPr>
      <w:i/>
      <w:iCs/>
      <w:color w:val="0F4761" w:themeColor="accent1" w:themeShade="BF"/>
    </w:rPr>
  </w:style>
  <w:style w:type="paragraph" w:styleId="CitaoIntensa">
    <w:name w:val="Intense Quote"/>
    <w:basedOn w:val="Normal"/>
    <w:next w:val="Normal"/>
    <w:link w:val="CitaoIntensaChar"/>
    <w:uiPriority w:val="30"/>
    <w:qFormat/>
    <w:rsid w:val="00627BA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oIntensaChar">
    <w:name w:val="Citação Intensa Char"/>
    <w:basedOn w:val="Fontepargpadro"/>
    <w:link w:val="CitaoIntensa"/>
    <w:uiPriority w:val="30"/>
    <w:rsid w:val="00627BA5"/>
    <w:rPr>
      <w:i/>
      <w:iCs/>
      <w:color w:val="0F4761" w:themeColor="accent1" w:themeShade="BF"/>
    </w:rPr>
  </w:style>
  <w:style w:type="character" w:styleId="RefernciaIntensa">
    <w:name w:val="Intense Reference"/>
    <w:basedOn w:val="Fontepargpadro"/>
    <w:uiPriority w:val="32"/>
    <w:qFormat/>
    <w:rsid w:val="00627BA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26</TotalTime>
  <Pages>10</Pages>
  <Words>1904</Words>
  <Characters>10284</Characters>
  <Application>Microsoft Office Word</Application>
  <DocSecurity>0</DocSecurity>
  <Lines>85</Lines>
  <Paragraphs>24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Vieira</dc:creator>
  <cp:keywords/>
  <dc:description/>
  <cp:lastModifiedBy>James Vieira</cp:lastModifiedBy>
  <cp:revision>17</cp:revision>
  <dcterms:created xsi:type="dcterms:W3CDTF">2024-04-20T23:00:00Z</dcterms:created>
  <dcterms:modified xsi:type="dcterms:W3CDTF">2024-04-20T23:48:00Z</dcterms:modified>
</cp:coreProperties>
</file>