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Segoe UI" w:cs="Segoe UI" w:eastAsia="Segoe UI" w:hAnsi="Segoe UI"/>
          <w:b/>
          <w:bCs/>
          <w:color w:val="2F7A4F"/>
          <w:sz w:val="36"/>
          <w:szCs w:val="36"/>
        </w:rPr>
        <w:t xml:space="preserve">LAB 1 REPORT</w:t>
      </w:r>
    </w:p>
    <w:p>
      <w:pPr>
        <w:spacing w:after="300"/>
        <w:jc w:val="center"/>
      </w:pPr>
      <w:r>
        <w:rPr>
          <w:rFonts w:ascii="Segoe UI" w:cs="Segoe UI" w:eastAsia="Segoe UI" w:hAnsi="Segoe UI"/>
          <w:b/>
          <w:bCs/>
          <w:color w:val="1E293B"/>
          <w:sz w:val="26"/>
          <w:szCs w:val="26"/>
        </w:rPr>
        <w:t xml:space="preserve">TokTickIT IT Service Desk Starter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F7A4F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Key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F7A4F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 / Value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Author (GitHub)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Vieng (@vienggg)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Peer Reviewer (GitHub)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Dechayut (@NinjoMUDA)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Project Repository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https://github.com/vienggg/toktickit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Partner Repository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https://github.com/NinjoMUDA/Dechayut_3414Lab1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GitHub Project Board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https://github.com/users/vienggg/projects/1</w:t>
            </w:r>
          </w:p>
        </w:tc>
      </w:tr>
    </w:tbl>
    <w:p>
      <w:pPr>
        <w:spacing w:after="120" w:before="300"/>
      </w:pPr>
      <w:r>
        <w:rPr>
          <w:rFonts w:ascii="Segoe UI" w:cs="Segoe UI" w:eastAsia="Segoe UI" w:hAnsi="Segoe UI"/>
          <w:b/>
          <w:bCs/>
          <w:color w:val="2F7A4F"/>
          <w:sz w:val="28"/>
          <w:szCs w:val="28"/>
        </w:rPr>
        <w:t xml:space="preserve">Answer Part 1: Project Foundation &amp; Environment Setup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sz w:val="21"/>
          <w:szCs w:val="21"/>
        </w:rPr>
        <w:t xml:space="preserve">Issue 1 established the full-stack foundation for TokTickIT. We installed npm dependencies for both server/ and client/ packages, configured environment files (.env) from template examples (.env.example), verified TypeScript compilation without errors, and submitted Pull Request #1 from feature/1-project-foundation to lab1-staging.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2F7A4F"/>
          <w:sz w:val="28"/>
          <w:szCs w:val="28"/>
        </w:rPr>
        <w:t xml:space="preserve">Answer Part 2: API Health Check Implementation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sz w:val="21"/>
          <w:szCs w:val="21"/>
        </w:rPr>
        <w:t xml:space="preserve">Issue 2 implemented the GET /api/health endpoint in server/src/app.ts returning HTTP 200 OK with JSON response { status: 'ok', service: 'TokTickIT API' }. The endpoint was validated using Supertest in server/tests/lab-01/health.test.ts, passing 1/1 test suite checks.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2F7A4F"/>
          <w:sz w:val="28"/>
          <w:szCs w:val="28"/>
        </w:rPr>
        <w:t xml:space="preserve">Answer Part 3: Category Model &amp; Idempotent Seeding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sz w:val="21"/>
          <w:szCs w:val="21"/>
        </w:rPr>
        <w:t xml:space="preserve">Issue 3 defined the Category model in server/prisma/schema.prisma (containing id, name, and createdAt fields) and implemented an idempotent seed script in server/prisma/seed.ts using Prisma's upsert API. The seed script inserts four standard IT categories: 'Account and Access', 'Hardware', 'Software', and 'Network'.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2F7A4F"/>
          <w:sz w:val="28"/>
          <w:szCs w:val="28"/>
        </w:rPr>
        <w:t xml:space="preserve">Answer Part 4: Category List API, React UI, &amp; Testing Evidence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sz w:val="21"/>
          <w:szCs w:val="21"/>
        </w:rPr>
        <w:t xml:space="preserve">Issue 4 created the GET /api/categories endpoint returning seeded categories ordered by ID ascending. In the frontend, client/src/api.ts checkSystem() method fetches health and categories endpoints. The React UI in client/src/App.tsx presents a clean Bootstrap layout displaying Loading state, Success state ('Online' badge + 4 categories), and Error state ('Offline' badge). Vitest component tests in client/tests/lab-01/App.test.tsx passed 3/3 tests.</w:t>
      </w: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Test Plan &amp; Execution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F7A4F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F7A4F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F7A4F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F7A4F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F7A4F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Supertest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health.test.ts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GET /api/health returns 200 OK status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Vitest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App.test.tsx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Renders TokTickIT heading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Vitest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App.test.tsx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Shows Online badge &amp; categories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Vitest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App.test.tsx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Shows Offline badge on error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 w:before="20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AI Use &amp; Prompt Engineering Log (Claude Opus 4.6 &amp; Gemini 3.6 Flash)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sz w:val="21"/>
          <w:szCs w:val="21"/>
        </w:rPr>
        <w:t xml:space="preserve">Established custom project governance rules in _AI_EXECUTION_RULES.md (Ask-First protocol, mandatory peer review approvals before merge, markdown edit transparency, and dynamic mode toggles) alongside docs/session_state.md. As rules evolved, these living documents ensured that if I stop using Antigravity and switch to another AI tool altogether, any new AI assistant can immediately comprehend the full codebase history, git state, and execution standards without friction.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2026-08-12T14:23:02.335Z</dcterms:created>
  <dcterms:modified xsi:type="dcterms:W3CDTF">2026-08-12T14:23:02.336Z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