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rFonts w:ascii="Segoe UI" w:cs="Segoe UI" w:eastAsia="Segoe UI" w:hAnsi="Segoe UI"/>
          <w:b/>
          <w:bCs/>
          <w:color w:val="2F7A4F"/>
          <w:sz w:val="36"/>
          <w:szCs w:val="36"/>
        </w:rPr>
        <w:t xml:space="preserve">LAB 1 REPORT</w:t>
      </w:r>
    </w:p>
    <w:p>
      <w:pPr>
        <w:spacing w:after="240"/>
        <w:jc w:val="center"/>
      </w:pPr>
      <w:r>
        <w:rPr>
          <w:rFonts w:ascii="Segoe UI" w:cs="Segoe UI" w:eastAsia="Segoe UI" w:hAnsi="Segoe UI"/>
          <w:b/>
          <w:bCs/>
          <w:color w:val="1E293B"/>
          <w:sz w:val="24"/>
          <w:szCs w:val="24"/>
        </w:rPr>
        <w:t xml:space="preserve">TokTickIT IT Service Desk Starter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2F7A4F" w:val="clear"/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Field Key</w:t>
            </w:r>
          </w:p>
        </w:tc>
        <w:tc>
          <w:tcPr>
            <w:tcW w:type="pct" w:w="7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2F7A4F" w:val="clear"/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Specification / Value</w:t>
            </w:r>
          </w:p>
        </w:tc>
      </w:tr>
      <w:tr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20"/>
                <w:szCs w:val="20"/>
              </w:rPr>
              <w:t xml:space="preserve">Author (GitHub)</w:t>
            </w:r>
          </w:p>
        </w:tc>
        <w:tc>
          <w:tcPr>
            <w:tcW w:type="pct" w:w="7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20"/>
                <w:szCs w:val="20"/>
              </w:rPr>
              <w:t xml:space="preserve">Vieng (@vienggg)</w:t>
            </w:r>
          </w:p>
        </w:tc>
      </w:tr>
      <w:tr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20"/>
                <w:szCs w:val="20"/>
              </w:rPr>
              <w:t xml:space="preserve">Peer Reviewer (GitHub)</w:t>
            </w:r>
          </w:p>
        </w:tc>
        <w:tc>
          <w:tcPr>
            <w:tcW w:type="pct" w:w="7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20"/>
                <w:szCs w:val="20"/>
              </w:rPr>
              <w:t xml:space="preserve">Dechayut (@NinjoMUDA)</w:t>
            </w:r>
          </w:p>
        </w:tc>
      </w:tr>
      <w:tr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20"/>
                <w:szCs w:val="20"/>
              </w:rPr>
              <w:t xml:space="preserve">Project Repository</w:t>
            </w:r>
          </w:p>
        </w:tc>
        <w:tc>
          <w:tcPr>
            <w:tcW w:type="pct" w:w="7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20"/>
                <w:szCs w:val="20"/>
              </w:rPr>
              <w:t xml:space="preserve">https://github.com/vienggg/toktickit</w:t>
            </w:r>
          </w:p>
        </w:tc>
      </w:tr>
      <w:tr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20"/>
                <w:szCs w:val="20"/>
              </w:rPr>
              <w:t xml:space="preserve">Partner Repository</w:t>
            </w:r>
          </w:p>
        </w:tc>
        <w:tc>
          <w:tcPr>
            <w:tcW w:type="pct" w:w="7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20"/>
                <w:szCs w:val="20"/>
              </w:rPr>
              <w:t xml:space="preserve">https://github.com/NinjoMUDA/Dechayut_3414Lab1</w:t>
            </w:r>
          </w:p>
        </w:tc>
      </w:tr>
      <w:tr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20"/>
                <w:szCs w:val="20"/>
              </w:rPr>
              <w:t xml:space="preserve">GitHub Project Board</w:t>
            </w:r>
          </w:p>
        </w:tc>
        <w:tc>
          <w:tcPr>
            <w:tcW w:type="pct" w:w="7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20"/>
                <w:szCs w:val="20"/>
              </w:rPr>
              <w:t xml:space="preserve">https://github.com/users/vienggg/projects/1</w:t>
            </w:r>
          </w:p>
        </w:tc>
      </w:tr>
    </w:tbl>
    <w:p>
      <w:pPr>
        <w:spacing w:after="100" w:before="280"/>
      </w:pPr>
      <w:r>
        <w:rPr>
          <w:rFonts w:ascii="Segoe UI" w:cs="Segoe UI" w:eastAsia="Segoe UI" w:hAnsi="Segoe UI"/>
          <w:b/>
          <w:bCs/>
          <w:color w:val="2F7A4F"/>
          <w:sz w:val="26"/>
          <w:szCs w:val="26"/>
        </w:rPr>
        <w:t xml:space="preserve">Answer Part 1: Project Foundation &amp; Environment Setup</w:t>
      </w:r>
    </w:p>
    <w:p>
      <w:pPr>
        <w:spacing w:after="100"/>
      </w:pPr>
      <w:r>
        <w:rPr>
          <w:rFonts w:ascii="Segoe UI" w:cs="Segoe UI" w:eastAsia="Segoe UI" w:hAnsi="Segoe UI"/>
          <w:b w:val="false"/>
          <w:bCs w:val="false"/>
          <w:sz w:val="21"/>
          <w:szCs w:val="21"/>
        </w:rPr>
        <w:t xml:space="preserve">Issue 1 established the core full-stack foundation for TokTickIT. Dependencies were installed for server/ and client/ packages, environment files (.env) configured from .env.example templates, and TypeScript compilation verified without errors before submitting PR #1 from feature/1-project-foundation to lab1-staging.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</w:tcPr>
          <w:p>
            <w:pPr>
              <w:spacing w:after="240" w:before="24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475569"/>
                <w:sz w:val="20"/>
                <w:szCs w:val="20"/>
              </w:rPr>
              <w:t xml:space="preserve">📷 [ SCREENSHOT EVIDENCE PLACEHOLDER: Git Flow Branches &amp; PR Merged to lab1-staging ]</w:t>
            </w:r>
          </w:p>
        </w:tc>
      </w:tr>
    </w:tbl>
    <w:p>
      <w:pPr>
        <w:spacing w:after="180" w:before="60"/>
        <w:jc w:val="center"/>
      </w:pPr>
      <w:r>
        <w:rPr>
          <w:rFonts w:ascii="Segoe UI" w:cs="Segoe UI" w:eastAsia="Segoe UI" w:hAnsi="Segoe UI"/>
          <w:color w:val="64748B"/>
          <w:sz w:val="18"/>
          <w:szCs w:val="18"/>
        </w:rPr>
        <w:t xml:space="preserve">Figure 1: GitHub Pull Request #1 merged into lab1-staging showing clean branch history</w:t>
      </w:r>
    </w:p>
    <w:p>
      <w:pPr>
        <w:spacing w:after="100" w:before="280"/>
      </w:pPr>
      <w:r>
        <w:rPr>
          <w:rFonts w:ascii="Segoe UI" w:cs="Segoe UI" w:eastAsia="Segoe UI" w:hAnsi="Segoe UI"/>
          <w:b/>
          <w:bCs/>
          <w:color w:val="2F7A4F"/>
          <w:sz w:val="26"/>
          <w:szCs w:val="26"/>
        </w:rPr>
        <w:t xml:space="preserve">Answer Part 2: API Health Check Implementation</w:t>
      </w:r>
    </w:p>
    <w:p>
      <w:pPr>
        <w:spacing w:after="100"/>
      </w:pPr>
      <w:r>
        <w:rPr>
          <w:rFonts w:ascii="Segoe UI" w:cs="Segoe UI" w:eastAsia="Segoe UI" w:hAnsi="Segoe UI"/>
          <w:b w:val="false"/>
          <w:bCs w:val="false"/>
          <w:sz w:val="21"/>
          <w:szCs w:val="21"/>
        </w:rPr>
        <w:t xml:space="preserve">Issue 2 implemented the GET /api/health endpoint in server/src/app.ts returning HTTP 200 OK with JSON response { status: 'ok', service: 'TokTickIT API' }. Validated via Supertest in server/tests/lab-01/health.test.ts, passing 1/1 test suite checks.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</w:tcPr>
          <w:p>
            <w:pPr>
              <w:spacing w:after="240" w:before="24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475569"/>
                <w:sz w:val="20"/>
                <w:szCs w:val="20"/>
              </w:rPr>
              <w:t xml:space="preserve">📷 [ SCREENSHOT EVIDENCE PLACEHOLDER: Supertest GET /api/health Terminal Test Output ]</w:t>
            </w:r>
          </w:p>
        </w:tc>
      </w:tr>
    </w:tbl>
    <w:p>
      <w:pPr>
        <w:spacing w:after="180" w:before="60"/>
        <w:jc w:val="center"/>
      </w:pPr>
      <w:r>
        <w:rPr>
          <w:rFonts w:ascii="Segoe UI" w:cs="Segoe UI" w:eastAsia="Segoe UI" w:hAnsi="Segoe UI"/>
          <w:color w:val="64748B"/>
          <w:sz w:val="18"/>
          <w:szCs w:val="18"/>
        </w:rPr>
        <w:t xml:space="preserve">Figure 2: Supertest integration test output verifying 200 OK response from /api/health</w:t>
      </w:r>
    </w:p>
    <w:p>
      <w:pPr>
        <w:spacing w:after="100" w:before="280"/>
      </w:pPr>
      <w:r>
        <w:rPr>
          <w:rFonts w:ascii="Segoe UI" w:cs="Segoe UI" w:eastAsia="Segoe UI" w:hAnsi="Segoe UI"/>
          <w:b/>
          <w:bCs/>
          <w:color w:val="2F7A4F"/>
          <w:sz w:val="26"/>
          <w:szCs w:val="26"/>
        </w:rPr>
        <w:t xml:space="preserve">Answer Part 3: Category Model &amp; Idempotent Seeding</w:t>
      </w:r>
    </w:p>
    <w:p>
      <w:pPr>
        <w:spacing w:after="100"/>
      </w:pPr>
      <w:r>
        <w:rPr>
          <w:rFonts w:ascii="Segoe UI" w:cs="Segoe UI" w:eastAsia="Segoe UI" w:hAnsi="Segoe UI"/>
          <w:b w:val="false"/>
          <w:bCs w:val="false"/>
          <w:sz w:val="21"/>
          <w:szCs w:val="21"/>
        </w:rPr>
        <w:t xml:space="preserve">Issue 3 defined the Category model in server/prisma/schema.prisma (containing id, name, and createdAt fields) and implemented an idempotent seed script in server/prisma/seed.ts using Prisma's upsert API. The seed script populates four standard IT request categories: 'Account and Access', 'Hardware', 'Software', and 'Network'.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</w:tcPr>
          <w:p>
            <w:pPr>
              <w:spacing w:after="240" w:before="24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475569"/>
                <w:sz w:val="20"/>
                <w:szCs w:val="20"/>
              </w:rPr>
              <w:t xml:space="preserve">📷 [ SCREENSHOT EVIDENCE PLACEHOLDER: Prisma Schema &amp; Idempotent Seeding Execution ]</w:t>
            </w:r>
          </w:p>
        </w:tc>
      </w:tr>
    </w:tbl>
    <w:p>
      <w:pPr>
        <w:spacing w:after="180" w:before="60"/>
        <w:jc w:val="center"/>
      </w:pPr>
      <w:r>
        <w:rPr>
          <w:rFonts w:ascii="Segoe UI" w:cs="Segoe UI" w:eastAsia="Segoe UI" w:hAnsi="Segoe UI"/>
          <w:color w:val="64748B"/>
          <w:sz w:val="18"/>
          <w:szCs w:val="18"/>
        </w:rPr>
        <w:t xml:space="preserve">Figure 3: Prisma schema definition and seed output populating 4 IT request categories</w:t>
      </w:r>
    </w:p>
    <w:p>
      <w:pPr>
        <w:spacing w:after="100" w:before="280"/>
      </w:pPr>
      <w:r>
        <w:rPr>
          <w:rFonts w:ascii="Segoe UI" w:cs="Segoe UI" w:eastAsia="Segoe UI" w:hAnsi="Segoe UI"/>
          <w:b/>
          <w:bCs/>
          <w:color w:val="2F7A4F"/>
          <w:sz w:val="26"/>
          <w:szCs w:val="26"/>
        </w:rPr>
        <w:t xml:space="preserve">Answer Part 4: Category List API, React UI, &amp; Testing Evidence</w:t>
      </w:r>
    </w:p>
    <w:p>
      <w:pPr>
        <w:spacing w:after="100"/>
      </w:pPr>
      <w:r>
        <w:rPr>
          <w:rFonts w:ascii="Segoe UI" w:cs="Segoe UI" w:eastAsia="Segoe UI" w:hAnsi="Segoe UI"/>
          <w:b w:val="false"/>
          <w:bCs w:val="false"/>
          <w:sz w:val="21"/>
          <w:szCs w:val="21"/>
        </w:rPr>
        <w:t xml:space="preserve">Issue 4 created the GET /api/categories endpoint returning categories ordered by ID ascending. In the frontend, client/src/api.ts checkSystem() method fetches health and categories endpoints. The React UI in client/src/App.tsx presents a clean Bootstrap layout displaying Loading state, Success state ('Online' badge + 4 categories), and Error state ('Offline' badge). Vitest component tests in client/tests/lab-01/App.test.tsx passed 3/3 tests.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</w:tcPr>
          <w:p>
            <w:pPr>
              <w:spacing w:after="240" w:before="24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475569"/>
                <w:sz w:val="20"/>
                <w:szCs w:val="20"/>
              </w:rPr>
              <w:t xml:space="preserve">📷 [ SCREENSHOT EVIDENCE PLACEHOLDER: TokTickIT React Application UI States (Online &amp; Categories List) ]</w:t>
            </w:r>
          </w:p>
        </w:tc>
      </w:tr>
    </w:tbl>
    <w:p>
      <w:pPr>
        <w:spacing w:after="180" w:before="60"/>
        <w:jc w:val="center"/>
      </w:pPr>
      <w:r>
        <w:rPr>
          <w:rFonts w:ascii="Segoe UI" w:cs="Segoe UI" w:eastAsia="Segoe UI" w:hAnsi="Segoe UI"/>
          <w:color w:val="64748B"/>
          <w:sz w:val="18"/>
          <w:szCs w:val="18"/>
        </w:rPr>
        <w:t xml:space="preserve">Figure 4: React UI rendering 'Online' badge with the 4 seeded categories in Bootstrap list format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</w:tcPr>
          <w:p>
            <w:pPr>
              <w:spacing w:after="240" w:before="24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475569"/>
                <w:sz w:val="20"/>
                <w:szCs w:val="20"/>
              </w:rPr>
              <w:t xml:space="preserve">📷 [ SCREENSHOT EVIDENCE PLACEHOLDER: GitHub Project Board Kanban View (Backlog to Done) ]</w:t>
            </w:r>
          </w:p>
        </w:tc>
      </w:tr>
    </w:tbl>
    <w:p>
      <w:pPr>
        <w:spacing w:after="180" w:before="60"/>
        <w:jc w:val="center"/>
      </w:pPr>
      <w:r>
        <w:rPr>
          <w:rFonts w:ascii="Segoe UI" w:cs="Segoe UI" w:eastAsia="Segoe UI" w:hAnsi="Segoe UI"/>
          <w:color w:val="64748B"/>
          <w:sz w:val="18"/>
          <w:szCs w:val="18"/>
        </w:rPr>
        <w:t xml:space="preserve">Figure 5: GitHub Project Board 'TokTickIT Individual Sprints' showing 6 columns with cards placed in PR Review and Done</w:t>
      </w:r>
    </w:p>
    <w:p>
      <w:pPr>
        <w:spacing w:after="80" w:before="20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Test Plan &amp; Execution Evidence Table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2F7A4F" w:val="clear"/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2F7A4F" w:val="clear"/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Tool</w:t>
            </w:r>
          </w:p>
        </w:tc>
        <w:tc>
          <w:tcPr>
            <w:tcW w:type="pct" w:w="3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2F7A4F" w:val="clear"/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Test File</w:t>
            </w:r>
          </w:p>
        </w:tc>
        <w:tc>
          <w:tcPr>
            <w:tcW w:type="pct" w:w="2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2F7A4F" w:val="clear"/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2F7A4F" w:val="clear"/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20"/>
                <w:szCs w:val="20"/>
              </w:rPr>
              <w:t xml:space="preserve">1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20"/>
                <w:szCs w:val="20"/>
              </w:rPr>
              <w:t xml:space="preserve">Supertest</w:t>
            </w:r>
          </w:p>
        </w:tc>
        <w:tc>
          <w:tcPr>
            <w:tcW w:type="pct" w:w="3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20"/>
                <w:szCs w:val="20"/>
              </w:rPr>
              <w:t xml:space="preserve">health.test.ts</w:t>
            </w:r>
          </w:p>
        </w:tc>
        <w:tc>
          <w:tcPr>
            <w:tcW w:type="pct" w:w="2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20"/>
                <w:szCs w:val="20"/>
              </w:rPr>
              <w:t xml:space="preserve">GET /api/health returns 200 OK status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20"/>
                <w:szCs w:val="20"/>
              </w:rPr>
              <w:t xml:space="preserve">2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20"/>
                <w:szCs w:val="20"/>
              </w:rPr>
              <w:t xml:space="preserve">Vitest</w:t>
            </w:r>
          </w:p>
        </w:tc>
        <w:tc>
          <w:tcPr>
            <w:tcW w:type="pct" w:w="3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20"/>
                <w:szCs w:val="20"/>
              </w:rPr>
              <w:t xml:space="preserve">App.test.tsx</w:t>
            </w:r>
          </w:p>
        </w:tc>
        <w:tc>
          <w:tcPr>
            <w:tcW w:type="pct" w:w="2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20"/>
                <w:szCs w:val="20"/>
              </w:rPr>
              <w:t xml:space="preserve">Renders TokTickIT heading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20"/>
                <w:szCs w:val="20"/>
              </w:rPr>
              <w:t xml:space="preserve">Vitest</w:t>
            </w:r>
          </w:p>
        </w:tc>
        <w:tc>
          <w:tcPr>
            <w:tcW w:type="pct" w:w="3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20"/>
                <w:szCs w:val="20"/>
              </w:rPr>
              <w:t xml:space="preserve">App.test.tsx</w:t>
            </w:r>
          </w:p>
        </w:tc>
        <w:tc>
          <w:tcPr>
            <w:tcW w:type="pct" w:w="2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20"/>
                <w:szCs w:val="20"/>
              </w:rPr>
              <w:t xml:space="preserve">Shows Online badge &amp; categories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20"/>
                <w:szCs w:val="20"/>
              </w:rPr>
              <w:t xml:space="preserve">Vitest</w:t>
            </w:r>
          </w:p>
        </w:tc>
        <w:tc>
          <w:tcPr>
            <w:tcW w:type="pct" w:w="3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20"/>
                <w:szCs w:val="20"/>
              </w:rPr>
              <w:t xml:space="preserve">App.test.tsx</w:t>
            </w:r>
          </w:p>
        </w:tc>
        <w:tc>
          <w:tcPr>
            <w:tcW w:type="pct" w:w="2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20"/>
                <w:szCs w:val="20"/>
              </w:rPr>
              <w:t xml:space="preserve">Shows Offline badge on error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20"/>
                <w:szCs w:val="20"/>
              </w:rPr>
              <w:t xml:space="preserve">PASS</w:t>
            </w:r>
          </w:p>
        </w:tc>
      </w:tr>
    </w:tbl>
    <w:p>
      <w:pPr>
        <w:spacing w:after="80" w:before="20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AI Use &amp; Prompt Engineering Log (Claude Opus 4.6 &amp; Gemini 3.6 Flash)</w:t>
      </w:r>
    </w:p>
    <w:p>
      <w:pPr>
        <w:spacing w:after="100"/>
      </w:pPr>
      <w:r>
        <w:rPr>
          <w:rFonts w:ascii="Segoe UI" w:cs="Segoe UI" w:eastAsia="Segoe UI" w:hAnsi="Segoe UI"/>
          <w:b w:val="false"/>
          <w:bCs w:val="false"/>
          <w:sz w:val="21"/>
          <w:szCs w:val="21"/>
        </w:rPr>
        <w:t xml:space="preserve">Established custom project governance rules in _AI_EXECUTION_RULES.md (Ask-First protocol, mandatory peer review approvals before merge, markdown edit transparency, and dynamic mode toggles) alongside docs/session_state.md. As rules evolved across sessions, these living documents ensured that if I stop using Antigravity and switch to another AI tool altogether, any new AI assistant can immediately comprehend the full codebase history, git state, and execution standards without friction.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2026-08-12T14:28:11.042Z</dcterms:created>
  <dcterms:modified xsi:type="dcterms:W3CDTF">2026-08-12T14:28:11.043Z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