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B07A12"/>
          <w:spacing w:val="40"/>
          <w:sz w:val="20"/>
          <w:szCs w:val="20"/>
        </w:rPr>
        <w:t xml:space="preserve">MV AUTOML STUDIO · GUÍA PARA GERENTES Y TÉCNICOS</w:t>
      </w:r>
    </w:p>
    <w:p>
      <w:pPr>
        <w:spacing w:after="240"/>
      </w:pPr>
      <w:r>
        <w:rPr>
          <w:b/>
          <w:bCs/>
          <w:color w:val="081527"/>
          <w:sz w:val="72"/>
          <w:szCs w:val="72"/>
        </w:rPr>
        <w:t xml:space="preserve">Agente de mercado</w:t>
      </w:r>
    </w:p>
    <w:p>
      <w:pPr>
        <w:pBdr>
          <w:bottom w:val="single" w:color="F2B441" w:sz="18" w:space="12"/>
        </w:pBdr>
        <w:spacing w:after="360"/>
      </w:pPr>
      <w:r>
        <w:rPr>
          <w:color w:val="122238"/>
          <w:sz w:val="28"/>
          <w:szCs w:val="28"/>
        </w:rPr>
        <w:t xml:space="preserve">Proyectar lanzamientos y ventas mirando también a la gente que no está en ninguna base: quien tiene síntomas y no consulta, quien tiene el diagnóstico y no se trata. Qué hace, de dónde saca los números y cuánto creerle.</w:t>
      </w:r>
    </w:p>
    <w:p>
      <w:pPr>
        <w:spacing w:after="120"/>
      </w:pPr>
      <w:r>
        <w:rPr>
          <w:color w:val="586A80"/>
        </w:rPr>
        <w:t xml:space="preserve">Versión 1.0 · octubre de 2026 · Martín Viera</w:t>
      </w:r>
    </w:p>
    <w:p>
      <w:pPr>
        <w:spacing w:before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single" w:color="F2B441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081527"/>
                <w:sz w:val="56"/>
                <w:szCs w:val="56"/>
              </w:rPr>
              <w:t xml:space="preserve">5</w:t>
            </w:r>
          </w:p>
          <w:p>
            <w:r>
              <w:rPr>
                <w:color w:val="586A80"/>
                <w:sz w:val="18"/>
                <w:szCs w:val="18"/>
              </w:rPr>
              <w:t xml:space="preserve">etapas del embudo, por país y segmento</w:t>
            </w:r>
          </w:p>
        </w:tc>
        <w:tc>
          <w:tcPr>
            <w:tcW w:type="dxa" w:w="2410"/>
            <w:tcBorders>
              <w:top w:val="single" w:color="F2B441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081527"/>
                <w:sz w:val="56"/>
                <w:szCs w:val="56"/>
              </w:rPr>
              <w:t xml:space="preserve">P10–P90</w:t>
            </w:r>
          </w:p>
          <w:p>
            <w:r>
              <w:rPr>
                <w:color w:val="586A80"/>
                <w:sz w:val="18"/>
                <w:szCs w:val="18"/>
              </w:rPr>
              <w:t xml:space="preserve">rango en cada número que proyecta</w:t>
            </w:r>
          </w:p>
        </w:tc>
        <w:tc>
          <w:tcPr>
            <w:tcW w:type="dxa" w:w="2410"/>
            <w:tcBorders>
              <w:top w:val="single" w:color="F2B441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081527"/>
                <w:sz w:val="56"/>
                <w:szCs w:val="56"/>
              </w:rPr>
              <w:t xml:space="preserve">0</w:t>
            </w:r>
          </w:p>
          <w:p>
            <w:r>
              <w:rPr>
                <w:color w:val="586A80"/>
                <w:sz w:val="18"/>
                <w:szCs w:val="18"/>
              </w:rPr>
              <w:t xml:space="preserve">cifras de la IA sin la marca «a validar»</w:t>
            </w:r>
          </w:p>
        </w:tc>
        <w:tc>
          <w:tcPr>
            <w:tcW w:type="dxa" w:w="2408"/>
            <w:tcBorders>
              <w:top w:val="single" w:color="F2B441" w:sz="12"/>
              <w:left w:val="none" w:color="auto" w:sz="0"/>
              <w:bottom w:val="none" w:color="auto" w:sz="0"/>
              <w:right w:val="none" w:color="auto" w:sz="0"/>
            </w:tcBorders>
            <w:tcMar>
              <w:top w:type="dxa" w:w="120"/>
              <w:left w:type="dxa" w:w="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081527"/>
                <w:sz w:val="56"/>
                <w:szCs w:val="56"/>
              </w:rPr>
              <w:t xml:space="preserve">86</w:t>
            </w:r>
          </w:p>
          <w:p>
            <w:r>
              <w:rPr>
                <w:color w:val="586A80"/>
                <w:sz w:val="18"/>
                <w:szCs w:val="18"/>
              </w:rPr>
              <w:t xml:space="preserve">pruebas automáticas sobre el agente</w:t>
            </w:r>
          </w:p>
        </w:tc>
      </w:tr>
    </w:tbl>
    <w:p>
      <w:pPr>
        <w:pStyle w:val="Heading1"/>
        <w:pageBreakBefore/>
        <w:spacing w:after="80" w:before="0"/>
      </w:pPr>
      <w:r>
        <w:rPr>
          <w:color w:val="B07A12"/>
        </w:rPr>
        <w:t xml:space="preserve">01  </w:t>
      </w:r>
      <w:r>
        <w:t xml:space="preserve">En una página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spacing w:after="120"/>
      </w:pPr>
      <w:r>
        <w:rPr>
          <w:sz w:val="24"/>
          <w:szCs w:val="24"/>
        </w:rPr>
        <w:t xml:space="preserve">Las proyecciones de siempre miran la historia de ventas. El problema es que la historia sólo ve a quien ya compra. El agente de mercado agrega lo que falta: </w:t>
      </w:r>
      <w:r>
        <w:rPr>
          <w:b/>
          <w:bCs/>
          <w:sz w:val="24"/>
          <w:szCs w:val="24"/>
        </w:rPr>
        <w:t xml:space="preserve">cuánta gente tiene la enfermedad y todavía no está en el mercado</w:t>
      </w:r>
      <w:r>
        <w:rPr>
          <w:sz w:val="24"/>
          <w:szCs w:val="24"/>
        </w:rPr>
        <w:t xml:space="preserve">, y cuánto de eso se puede ganar.</w:t>
      </w:r>
    </w:p>
    <w:p>
      <w:pPr>
        <w:spacing w:after="120"/>
      </w:pPr>
      <w:r>
        <w:t xml:space="preserve">En criollo: para vender un antihipertensivo no alcanza con mirar cuánto vendimos el año pasado. Hay que saber cuántos hipertensos hay en cada país, cuántos lo saben, cuántos se tratan y con qué. En hipertensión, por ejemplo, </w:t>
      </w:r>
      <w:r>
        <w:rPr>
          <w:b/>
          <w:bCs/>
        </w:rPr>
        <w:t xml:space="preserve">los hombres consultan menos que las mujeres</w:t>
      </w:r>
      <w:r>
        <w:t xml:space="preserve">: hay un mercado entero que no aparece en ninguna base porque nunca pisó un consultorio. El agente lo hace visible, país por país.</w:t>
      </w:r>
    </w:p>
    <w:p>
      <w:pPr>
        <w:pStyle w:val="Heading3"/>
      </w:pPr>
      <w:r>
        <w:t xml:space="preserve">Qué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mercado actual y el latente</w:t>
      </w:r>
      <w:r>
        <w:t xml:space="preserve">, separados: tratados, diagnosticados sin tratamiento y gente con la enfermedad sin diagnóstico.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Una lectura por país</w:t>
      </w:r>
      <w:r>
        <w:t xml:space="preserve">: dónde conviene </w:t>
      </w:r>
      <w:r>
        <w:rPr>
          <w:b/>
          <w:bCs/>
        </w:rPr>
        <w:t xml:space="preserve">desarrollar</w:t>
      </w:r>
      <w:r>
        <w:t xml:space="preserve"> (detección), </w:t>
      </w:r>
      <w:r>
        <w:rPr>
          <w:b/>
          <w:bCs/>
        </w:rPr>
        <w:t xml:space="preserve">acelerar</w:t>
      </w:r>
      <w:r>
        <w:t xml:space="preserve"> (activación médica) o </w:t>
      </w:r>
      <w:r>
        <w:rPr>
          <w:b/>
          <w:bCs/>
        </w:rPr>
        <w:t xml:space="preserve">proteger</w:t>
      </w:r>
      <w:r>
        <w:t xml:space="preserve"> (participación dentro de la clase).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curva de un lanzamiento</w:t>
      </w:r>
      <w:r>
        <w:t xml:space="preserve"> mes a mes, con su rango de incertidumbre.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Qué supuesto validar primero</w:t>
      </w:r>
      <w:r>
        <w:t xml:space="preserve">: el que más mueve el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control contra la realidad</w:t>
      </w:r>
      <w:r>
        <w:t xml:space="preserve">: si lo que se vende no cierra con los supuestos, el agente lo dice.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tablero de contribución</w:t>
      </w:r>
      <w:r>
        <w:t xml:space="preserve"> con el formato de la lámina de portafolio, también en Power BI.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EE9" w:sz="4"/>
              <w:left w:val="single" w:color="081527" w:sz="24"/>
              <w:bottom w:val="single" w:color="D5DEE9" w:sz="4"/>
              <w:right w:val="single" w:color="D5DEE9" w:sz="4"/>
            </w:tcBorders>
            <w:shd w:fill="EEF3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81527"/>
              </w:rPr>
              <w:t xml:space="preserve">La regla que lo hace confiable</w:t>
            </w:r>
          </w:p>
          <w:p>
            <w:r>
              <w:rPr>
                <w:sz w:val="20"/>
                <w:szCs w:val="20"/>
              </w:rPr>
              <w:t xml:space="preserve">Los números del mercado salen de </w:t>
            </w:r>
            <w:r>
              <w:rPr>
                <w:b/>
                <w:bCs/>
                <w:sz w:val="20"/>
                <w:szCs w:val="20"/>
              </w:rPr>
              <w:t xml:space="preserve">estudios de mercado</w:t>
            </w:r>
            <w:r>
              <w:rPr>
                <w:sz w:val="20"/>
                <w:szCs w:val="20"/>
              </w:rPr>
              <w:t xml:space="preserve"> por país. Si todavía no hay estudio, el motor de IA propone una primera versión, pero cada cifra queda marcada «IA (a validar)» y el informe dice cuánto de la proyección descansa en hipótesis. Un estudio siempre pisa a la IA.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02  </w:t>
      </w:r>
      <w:r>
        <w:t xml:space="preserve">El problema: la historia no ve al que no compra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spacing w:after="120"/>
      </w:pPr>
      <w:r>
        <w:t xml:space="preserve">Un modelo entrenado con ventas pasadas puede proyectar muy bien </w:t>
      </w:r>
      <w:r>
        <w:rPr>
          <w:b/>
          <w:bCs/>
        </w:rPr>
        <w:t xml:space="preserve">lo que ya pasa</w:t>
      </w:r>
      <w:r>
        <w:t xml:space="preserve">. Pero tiene dos puntos ciegos que en farma pesan mucho: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El lanzamiento no tiene historia</w:t>
      </w:r>
      <w:r>
        <w:t xml:space="preserve">. </w:t>
      </w:r>
      <w:r>
        <w:t xml:space="preserve">Un producto nuevo no tiene ventas pasadas: no hay con qué entrenar ni con qué medir. La proyección tiene que salir del mercado, no del producto.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El mercado latente no deja rastro</w:t>
      </w:r>
      <w:r>
        <w:t xml:space="preserve">. </w:t>
      </w:r>
      <w:r>
        <w:t xml:space="preserve">El paciente que no consulta no aparece en las recetas, ni en la auditoría de farmacias, ni en el CRM. Si la proyección sólo mira esas fuentes, lo da por inexistente, y es justo donde está el crecimiento.</w:t>
      </w:r>
    </w:p>
    <w:p>
      <w:pPr>
        <w:spacing w:after="120"/>
      </w:pPr>
      <w:r>
        <w:t xml:space="preserve">El agente resuelve las dos cosas con la herramienta clásica de inteligencia de mercado farmacéutica: el </w:t>
      </w:r>
      <w:r>
        <w:rPr>
          <w:b/>
          <w:bCs/>
        </w:rPr>
        <w:t xml:space="preserve">embudo epidemiológico</w:t>
      </w:r>
      <w:r>
        <w:t xml:space="preserve">, armado país por país con supuestos explícitos, cada uno con su rango y su fuente.</w:t>
      </w:r>
    </w:p>
    <w:p>
      <w:pPr>
        <w:pStyle w:val="Heading1"/>
        <w:spacing w:after="80" w:before="520"/>
      </w:pPr>
      <w:r>
        <w:rPr>
          <w:color w:val="B07A12"/>
        </w:rPr>
        <w:t xml:space="preserve">03  </w:t>
      </w:r>
      <w:r>
        <w:t xml:space="preserve">Cómo piensa el agente: el embudo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TODOS</w:t>
      </w:r>
    </w:p>
    <w:p>
      <w:pPr>
        <w:spacing w:after="120"/>
      </w:pPr>
      <w:r>
        <w:t xml:space="preserve">Por cada país y segmento (por defecto hombres y mujeres; puede ser edad o región) el agente baja de la población hasta la marca: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2857500"/>
            <wp:effectExtent t="0" r="0" b="0" l="0"/>
            <wp:docPr id="1" name="img/embudo.png" descr="Ejemplo con datos sintéticos: de 26,7 millones de personas con hipertensión, 12,3 millones no tienen diagnóstico y 4,9 millones están diagnosticadas sin tratamiento. Ese latente (17,2 millones) es más grande que todo el mercado tratado." title="Ejemplo con datos sintéticos: de 26,7 millones de personas con hipertensión, 12,3 millones no tienen diagnóstico y 4,9 millones están diagnosticadas sin tratamiento. Ese latente (17,2 millones) es más grande que todo el mercado tra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Ejemplo con datos sintéticos: de 26,7 millones de personas con hipertensión, 12,3 millones no tienen diagnóstico y 4,9 millones están diagnosticadas sin tratamiento. Ese latente (17,2 millones) es más grande que todo el mercado tratado.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144"/>
        <w:gridCol w:w="3374"/>
      </w:tblGrid>
      <w:tr>
        <w:trPr>
          <w:tblHeader/>
        </w:trP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14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337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Supuesto que la define</w:t>
            </w:r>
          </w:p>
        </w:tc>
      </w:tr>
      <w:t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Prevalentes</w:t>
            </w:r>
          </w:p>
        </w:tc>
        <w:tc>
          <w:tcPr>
            <w:tcW w:type="dxa" w:w="414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Personas con la enfermedad</w:t>
            </w:r>
          </w:p>
        </w:tc>
        <w:tc>
          <w:tcPr>
            <w:tcW w:type="dxa" w:w="337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poblacion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prevalencia</w:t>
            </w:r>
          </w:p>
        </w:tc>
      </w:tr>
      <w:t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Diagnosticados</w:t>
            </w:r>
          </w:p>
        </w:tc>
        <w:tc>
          <w:tcPr>
            <w:tcW w:type="dxa" w:w="414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Las que lo saben</w:t>
            </w:r>
          </w:p>
        </w:tc>
        <w:tc>
          <w:tcPr>
            <w:tcW w:type="dxa" w:w="337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diagnosticados</w:t>
            </w:r>
            <w:r>
              <w:rPr>
                <w:sz w:val="19"/>
                <w:szCs w:val="19"/>
              </w:rPr>
              <w:t xml:space="preserve"> (fracción de prevalentes)</w:t>
            </w:r>
          </w:p>
        </w:tc>
      </w:tr>
      <w:t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Tratados</w:t>
            </w:r>
          </w:p>
        </w:tc>
        <w:tc>
          <w:tcPr>
            <w:tcW w:type="dxa" w:w="414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Las que se tratan</w:t>
            </w:r>
          </w:p>
        </w:tc>
        <w:tc>
          <w:tcPr>
            <w:tcW w:type="dxa" w:w="337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tratados</w:t>
            </w:r>
            <w:r>
              <w:rPr>
                <w:sz w:val="19"/>
                <w:szCs w:val="19"/>
              </w:rPr>
              <w:t xml:space="preserve"> (fracción de diagnosticados)</w:t>
            </w:r>
          </w:p>
        </w:tc>
      </w:tr>
      <w:t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 la clase</w:t>
            </w:r>
          </w:p>
        </w:tc>
        <w:tc>
          <w:tcPr>
            <w:tcW w:type="dxa" w:w="414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Tratadas con la clase o molécula</w:t>
            </w:r>
          </w:p>
        </w:tc>
        <w:tc>
          <w:tcPr>
            <w:tcW w:type="dxa" w:w="337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clase</w:t>
            </w:r>
            <w:r>
              <w:rPr>
                <w:sz w:val="19"/>
                <w:szCs w:val="19"/>
              </w:rPr>
              <w:t xml:space="preserve"> (fracción de tratados)</w:t>
            </w:r>
          </w:p>
        </w:tc>
      </w:tr>
      <w:t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 la marca</w:t>
            </w:r>
          </w:p>
        </w:tc>
        <w:tc>
          <w:tcPr>
            <w:tcW w:type="dxa" w:w="414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Tratadas con nuestra marca</w:t>
            </w:r>
          </w:p>
        </w:tc>
        <w:tc>
          <w:tcPr>
            <w:tcW w:type="dxa" w:w="3374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participacion</w:t>
            </w:r>
            <w:r>
              <w:rPr>
                <w:sz w:val="19"/>
                <w:szCs w:val="19"/>
              </w:rPr>
              <w:t xml:space="preserve"> (dentro de la clase)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 </w:t>
      </w:r>
      <w:r>
        <w:rPr>
          <w:rFonts w:ascii="Consolas" w:cs="Consolas" w:eastAsia="Consolas" w:hAnsi="Consolas"/>
        </w:rPr>
        <w:t xml:space="preserve">dosis_dia</w:t>
      </w:r>
      <w:r>
        <w:t xml:space="preserve">, </w:t>
      </w:r>
      <w:r>
        <w:rPr>
          <w:rFonts w:ascii="Consolas" w:cs="Consolas" w:eastAsia="Consolas" w:hAnsi="Consolas"/>
        </w:rPr>
        <w:t xml:space="preserve">dias_tratamiento</w:t>
      </w:r>
      <w:r>
        <w:t xml:space="preserve"> y </w:t>
      </w:r>
      <w:r>
        <w:rPr>
          <w:rFonts w:ascii="Consolas" w:cs="Consolas" w:eastAsia="Consolas" w:hAnsi="Consolas"/>
        </w:rPr>
        <w:t xml:space="preserve">adherencia</w:t>
      </w:r>
      <w:r>
        <w:t xml:space="preserve"> los pacientes se pasan a </w:t>
      </w:r>
      <w:r>
        <w:rPr>
          <w:b/>
          <w:bCs/>
        </w:rPr>
        <w:t xml:space="preserve">unidades</w:t>
      </w:r>
      <w:r>
        <w:t xml:space="preserve">, y con </w:t>
      </w:r>
      <w:r>
        <w:rPr>
          <w:rFonts w:ascii="Consolas" w:cs="Consolas" w:eastAsia="Consolas" w:hAnsi="Consolas"/>
        </w:rPr>
        <w:t xml:space="preserve">precio_unidad</w:t>
      </w:r>
      <w:r>
        <w:t xml:space="preserve"> a </w:t>
      </w:r>
      <w:r>
        <w:rPr>
          <w:b/>
          <w:bCs/>
        </w:rPr>
        <w:t xml:space="preserve">valor</w:t>
      </w:r>
      <w:r>
        <w:t xml:space="preserve">. El </w:t>
      </w:r>
      <w:r>
        <w:rPr>
          <w:b/>
          <w:bCs/>
        </w:rPr>
        <w:t xml:space="preserve">mercado latente</w:t>
      </w:r>
      <w:r>
        <w:t xml:space="preserve"> es todo lo que queda arriba de «tratados»: sin diagnóstico (síntomas sin consulta) más diagnosticados sin tratamiento.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EE9" w:sz="4"/>
              <w:left w:val="single" w:color="9A6200" w:sz="24"/>
              <w:bottom w:val="single" w:color="D5DEE9" w:sz="4"/>
              <w:right w:val="single" w:color="D5DEE9" w:sz="4"/>
            </w:tcBorders>
            <w:shd w:fill="FDF1D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A6200"/>
              </w:rPr>
              <w:t xml:space="preserve">Nada se asume en silencio</w:t>
            </w:r>
          </w:p>
          <w:p>
            <w:r>
              <w:rPr>
                <w:sz w:val="20"/>
                <w:szCs w:val="20"/>
              </w:rPr>
              <w:t xml:space="preserve">Si falta un supuesto obligatorio (población, prevalencia, diagnóstico, tratamiento), el agente lo reclama y no corre. Si falta uno con valor razonable (una dosis por día, 365 días, adherencia del 100 %), lo usa </w:t>
            </w:r>
            <w:r>
              <w:rPr>
                <w:b/>
                <w:bCs/>
                <w:sz w:val="20"/>
                <w:szCs w:val="20"/>
              </w:rPr>
              <w:t xml:space="preserve">y lo avisa</w:t>
            </w:r>
            <w:r>
              <w:rPr>
                <w:sz w:val="20"/>
                <w:szCs w:val="20"/>
              </w:rPr>
              <w:t xml:space="preserve">: inflar el mercado callado es la forma más fácil de vender una proyección que no se cumple.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04  </w:t>
      </w:r>
      <w:r>
        <w:t xml:space="preserve">De dónde salen los números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TODOS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Estudios de mercado (mandan)</w:t>
      </w:r>
      <w:r>
        <w:t xml:space="preserve">. </w:t>
      </w:r>
      <w:r>
        <w:t xml:space="preserve">Encuestas nacionales de salud, estudios poblacionales, auditorías de prescripción, investigaciones que la empresa ya compra o encarga. Se cargan con una plantilla por país y segmento: valor, mínimo, máximo y fuente.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Propuesta del motor de IA (a validar)</w:t>
      </w:r>
      <w:r>
        <w:t xml:space="preserve">. </w:t>
      </w:r>
      <w:r>
        <w:t xml:space="preserve">Si todavía no hay estudio, el agente le pide al motor de IA configurado una primera versión del embudo y la </w:t>
      </w:r>
      <w:r>
        <w:rPr>
          <w:b/>
          <w:bCs/>
        </w:rPr>
        <w:t xml:space="preserve">casuística del área terapéutica</w:t>
      </w:r>
      <w:r>
        <w:t xml:space="preserve">: subdiagnóstico por sexo y edad, brecha de tratamiento, escalonamiento mono → doble → triple, dosis y titulación, adherencia, acceso y genéricos. Con la consigna explícita de no inventar citas.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Combinación</w:t>
      </w:r>
      <w:r>
        <w:t xml:space="preserve">. </w:t>
      </w:r>
      <w:r>
        <w:t xml:space="preserve">Supuesto por supuesto, el estudio pisa a la IA. El resultado declara su </w:t>
      </w:r>
      <w:r>
        <w:rPr>
          <w:b/>
          <w:bCs/>
        </w:rPr>
        <w:t xml:space="preserve">nivel de evidencia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 de evidencia</w:t>
            </w:r>
          </w:p>
        </w:tc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  <w:tc>
          <w:tcPr>
            <w:tcW w:type="dxa" w:w="366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usar la proyección</w:t>
            </w:r>
          </w:p>
        </w:tc>
      </w:tr>
      <w:t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estudios</w:t>
            </w:r>
          </w:p>
        </w:tc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Todos los supuestos salen de estudios cargados</w:t>
            </w:r>
          </w:p>
        </w:tc>
        <w:tc>
          <w:tcPr>
            <w:tcW w:type="dxa" w:w="366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Para presupuestar y decidir</w:t>
            </w:r>
          </w:p>
        </w:tc>
      </w:tr>
      <w:t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mixta</w:t>
            </w:r>
          </w:p>
        </w:tc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Parte estudios, parte IA</w:t>
            </w:r>
          </w:p>
        </w:tc>
        <w:tc>
          <w:tcPr>
            <w:tcW w:type="dxa" w:w="366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Como base de trabajo; validar lo marcado</w:t>
            </w:r>
          </w:p>
        </w:tc>
      </w:tr>
      <w:tr>
        <w:tc>
          <w:tcPr>
            <w:tcW w:type="dxa" w:w="212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solo IA</w:t>
            </w:r>
          </w:p>
        </w:tc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Ningún supuesto respaldado por un estudio</w:t>
            </w:r>
          </w:p>
        </w:tc>
        <w:tc>
          <w:tcPr>
            <w:tcW w:type="dxa" w:w="366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Como hipótesis para encargar el estudio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EE9" w:sz="4"/>
              <w:left w:val="single" w:color="081527" w:sz="24"/>
              <w:bottom w:val="single" w:color="D5DEE9" w:sz="4"/>
              <w:right w:val="single" w:color="D5DEE9" w:sz="4"/>
            </w:tcBorders>
            <w:shd w:fill="EEF3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81527"/>
              </w:rPr>
              <w:t xml:space="preserve">Por qué la IA no alcanza sola</w:t>
            </w:r>
          </w:p>
          <w:p>
            <w:r>
              <w:rPr>
                <w:sz w:val="20"/>
                <w:szCs w:val="20"/>
              </w:rPr>
              <w:t xml:space="preserve">Un modelo de lenguaje puede dar cifras desactualizadas y citar estudios que no existen. El agente nunca presenta lo que propone como dato: es un punto de partida para pedirle a inteligencia de mercado lo que falta.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05  </w:t>
      </w:r>
      <w:r>
        <w:t xml:space="preserve">Qué responde, país por país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spacing w:after="120"/>
      </w:pPr>
      <w:r>
        <w:t xml:space="preserve">Con los estudios sintéticos de ejemplo (hipertensión en tres países, por sexo), el agente lee así: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735"/>
        <w:gridCol w:w="6361"/>
      </w:tblGrid>
      <w:tr>
        <w:trPr>
          <w:tblHeader/>
        </w:trPr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País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636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México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Desarrollar</w:t>
            </w:r>
          </w:p>
        </w:tc>
        <w:tc>
          <w:tcPr>
            <w:tcW w:type="dxa" w:w="636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46 % de quienes tienen la enfermedad no está diagnosticado. Mueve más la detección (campañas, tamizaje, educación al paciente), empezando por los hombres.</w:t>
            </w:r>
          </w:p>
        </w:tc>
      </w:tr>
      <w:tr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Ecuador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Desarrollar</w:t>
            </w:r>
          </w:p>
        </w:tc>
        <w:tc>
          <w:tcPr>
            <w:tcW w:type="dxa" w:w="636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56 % no está diagnosticado: el mercado está escondido.</w:t>
            </w:r>
          </w:p>
        </w:tc>
      </w:tr>
      <w:tr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Chile</w:t>
            </w:r>
          </w:p>
        </w:tc>
        <w:tc>
          <w:tcPr>
            <w:tcW w:type="dxa" w:w="173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Acelerar</w:t>
            </w:r>
          </w:p>
        </w:tc>
        <w:tc>
          <w:tcPr>
            <w:tcW w:type="dxa" w:w="6361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1,35 millones de diagnosticados sin tratamiento (32 % de los prevalentes): el crecimiento está en activación médica, adherencia y acceso.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regla: </w:t>
      </w:r>
      <w:r>
        <w:rPr>
          <w:b/>
          <w:bCs/>
        </w:rPr>
        <w:t xml:space="preserve">desarrollar</w:t>
      </w:r>
      <w:r>
        <w:t xml:space="preserve"> si el subdiagnóstico domina (40 % o más de los prevalentes sin diagnóstico); </w:t>
      </w:r>
      <w:r>
        <w:rPr>
          <w:b/>
          <w:bCs/>
        </w:rPr>
        <w:t xml:space="preserve">acelerar</w:t>
      </w:r>
      <w:r>
        <w:t xml:space="preserve"> si muchos diagnosticados no se tratan (20 % o más); </w:t>
      </w:r>
      <w:r>
        <w:rPr>
          <w:b/>
          <w:bCs/>
        </w:rPr>
        <w:t xml:space="preserve">proteger</w:t>
      </w:r>
      <w:r>
        <w:t xml:space="preserve"> si el mercado ya está tratado y crecer es ganar participación dentro de la clase.</w:t>
      </w:r>
    </w:p>
    <w:p>
      <w:pPr>
        <w:pStyle w:val="Heading3"/>
      </w:pPr>
      <w:r>
        <w:t xml:space="preserve">Qué validar primero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2514600"/>
            <wp:effectExtent t="0" r="0" b="0" l="0"/>
            <wp:docPr id="2" name="img/tornado.png" descr="Cada barra lleva un supuesto a su mínimo (rojo) y a su máximo (azul) con los demás quietos. El de arriba es el que más mueve el resultado: el primero que conviene confirmar con un estudio." title="Cada barra lleva un supuesto a su mínimo (rojo) y a su máximo (azul) con los demás quietos. El de arriba es el que más mueve el resultado: el primero que conviene confirmar con un estud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Cada barra lleva un supuesto a su mínimo (rojo) y a su máximo (azul) con los demás quietos. El de arriba es el que más mueve el resultado: el primero que conviene confirmar con un estudio.</w:t>
      </w:r>
    </w:p>
    <w:p>
      <w:pPr>
        <w:pStyle w:val="Heading3"/>
      </w:pPr>
      <w:r>
        <w:t xml:space="preserve">El lanzamiento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2447925"/>
            <wp:effectExtent t="0" r="0" b="0" l="0"/>
            <wp:docPr id="3" name="img/lanzamiento.png" descr="Adopción tipo Bass hacia una participación al pico del 12 % de la clase (entre 8 % y 16 %), con el 90 % del pico en el mes 18. Al mes 36, en el escenario central, unos USD 3,4 millones por mes en los tres países sintéticos." title="Adopción tipo Bass hacia una participación al pico del 12 % de la clase (entre 8 % y 16 %), con el 90 % del pico en el mes 18. Al mes 36, en el escenario central, unos USD 3,4 millones por mes en los tres países sintétic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Adopción tipo Bass hacia una participación al pico del 12 % de la clase (entre 8 % y 16 %), con el 90 % del pico en el mes 18. Al mes 36, en el escenario central, unos USD 3,4 millones por mes en los tres países sintéticos.</w:t>
      </w:r>
    </w:p>
    <w:p>
      <w:pPr>
        <w:pStyle w:val="Heading3"/>
      </w:pPr>
      <w:r>
        <w:t xml:space="preserve">El control contra la realidad</w:t>
      </w:r>
    </w:p>
    <w:p>
      <w:pPr>
        <w:spacing w:after="120"/>
      </w:pPr>
      <w:r>
        <w:t xml:space="preserve">Cuando el producto ya vende, se cargan las ventas reales por país y el agente contrasta: si los supuestos explican lo vendido (</w:t>
      </w:r>
      <w:r>
        <w:rPr>
          <w:b/>
          <w:bCs/>
        </w:rPr>
        <w:t xml:space="preserve">coherente</w:t>
      </w:r>
      <w:r>
        <w:t xml:space="preserve">), si no (</w:t>
      </w:r>
      <w:r>
        <w:rPr>
          <w:b/>
          <w:bCs/>
        </w:rPr>
        <w:t xml:space="preserve">revisar</w:t>
      </w:r>
      <w:r>
        <w:t xml:space="preserve">), si se vende más que todo el mercado tratado (</w:t>
      </w:r>
      <w:r>
        <w:rPr>
          <w:b/>
          <w:bCs/>
        </w:rPr>
        <w:t xml:space="preserve">imposible</w:t>
      </w:r>
      <w:r>
        <w:t xml:space="preserve">: algún supuesto está subestimado o hay canal fuera del embudo) y si una proyección por historia supera el techo del mercado tratado (</w:t>
      </w:r>
      <w:r>
        <w:rPr>
          <w:b/>
          <w:bCs/>
        </w:rPr>
        <w:t xml:space="preserve">fuera de techo</w:t>
      </w:r>
      <w:r>
        <w:t xml:space="preserve">: no se cumple sin activar latente).</w:t>
      </w:r>
    </w:p>
    <w:p>
      <w:pPr>
        <w:pStyle w:val="Heading1"/>
        <w:spacing w:after="80" w:before="520"/>
      </w:pPr>
      <w:r>
        <w:rPr>
          <w:color w:val="B07A12"/>
        </w:rPr>
        <w:t xml:space="preserve">06  </w:t>
      </w:r>
      <w:r>
        <w:t xml:space="preserve">La lámina de contribución, calculada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spacing w:after="120"/>
      </w:pPr>
      <w:r>
        <w:t xml:space="preserve">Junto al agente va la </w:t>
      </w:r>
      <w:r>
        <w:rPr>
          <w:b/>
          <w:bCs/>
        </w:rPr>
        <w:t xml:space="preserve">matriz de contribución y mix</w:t>
      </w:r>
      <w:r>
        <w:t xml:space="preserve">: el formato de la lámina «una plataforma regional, con motores de crecimiento diferentes por mercado», pero calculado desde las ventas. Sirve por país y también por molécula o marca dentro de cada área terapéutica.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24575" cy="3571875"/>
            <wp:effectExtent t="0" r="0" b="0" l="0"/>
            <wp:docPr id="4" name="img/burbujas.png" descr="Datos sintéticos. Eje Y: contribución a las ventas (baja &lt; 3 %, media 3–10 %, alta &gt; 10 %). Eje X: evolución del mix, de monoterapia a triple terapia. Tamaño: la contribución." title="Datos sintéticos. Eje Y: contribución a las ventas (baja &lt; 3 %, media 3–10 %, alta &gt; 10 %). Eje X: evolución del mix, de monoterapia a triple terapia. Tamaño: la contribu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86A80"/>
          <w:sz w:val="17"/>
          <w:szCs w:val="17"/>
        </w:rPr>
        <w:t xml:space="preserve">Datos sintéticos. Eje Y: contribución a las ventas (baja &lt; 3 %, media 3–10 %, alta &gt; 10 %). Eje X: evolución del mix, de monoterapia a triple terapia. Tamaño: la contribución.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Proteger</w:t>
      </w:r>
      <w:r>
        <w:t xml:space="preserve"> (contribución alta), </w:t>
      </w:r>
      <w:r>
        <w:rPr>
          <w:b/>
          <w:bCs/>
        </w:rPr>
        <w:t xml:space="preserve">acelerar</w:t>
      </w:r>
      <w:r>
        <w:t xml:space="preserve"> (media) y </w:t>
      </w:r>
      <w:r>
        <w:rPr>
          <w:b/>
          <w:bCs/>
        </w:rPr>
        <w:t xml:space="preserve">desarrollar</w:t>
      </w:r>
      <w:r>
        <w:t xml:space="preserve"> (baja).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Siguiente motor</w:t>
      </w:r>
      <w:r>
        <w:t xml:space="preserve"> de cada mercado: la primera presentación del mix donde está por debajo de la región. La oportunidad no es uniformar el mix, sino activar el motor que sigue en cada país.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Lectura estratégica</w:t>
      </w:r>
      <w:r>
        <w:t xml:space="preserve"> automática: escala (cuántos mercados explican el negocio), dirección (peso de las combinaciones) y diversidad (qué tan distinto está cada uno).</w:t>
      </w:r>
    </w:p>
    <w:p>
      <w:pPr>
        <w:pStyle w:val="Heading1"/>
        <w:spacing w:after="80" w:before="520"/>
      </w:pPr>
      <w:r>
        <w:rPr>
          <w:color w:val="B07A12"/>
        </w:rPr>
        <w:t xml:space="preserve">07  </w:t>
      </w:r>
      <w:r>
        <w:t xml:space="preserve">Cómo se usa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TÉCNICOS</w:t>
      </w:r>
    </w:p>
    <w:p>
      <w:pPr>
        <w:pStyle w:val="Heading3"/>
      </w:pPr>
      <w:r>
        <w:t xml:space="preserve">En el programa</w:t>
      </w:r>
    </w:p>
    <w:p>
      <w:pPr>
        <w:spacing w:after="120"/>
      </w:pPr>
      <w:r>
        <w:t xml:space="preserve">Pestaña </w:t>
      </w:r>
      <w:r>
        <w:rPr>
          <w:b/>
          <w:bCs/>
        </w:rPr>
        <w:t xml:space="preserve">Portafolio y mercado</w:t>
      </w:r>
      <w:r>
        <w:t xml:space="preserve">. Arriba, la matriz de contribución (dataset de ventas, entidad, valor, presentación, área y período). Abajo, el agente: área terapéutica, molécula, enfermedad, presentación, países y segmentos; se baja la plantilla, se carga el estudio como dataset o se pide la propuesta a la IA, y se analiza. El botón </w:t>
      </w:r>
      <w:r>
        <w:rPr>
          <w:b/>
          <w:bCs/>
        </w:rPr>
        <w:t xml:space="preserve">Paquete para Power BI</w:t>
      </w:r>
      <w:r>
        <w:t xml:space="preserve"> arma el zip con tablas, tema, medidas DAX y la matriz de burbujas para Deneb.</w:t>
      </w:r>
    </w:p>
    <w:p>
      <w:pPr>
        <w:pStyle w:val="Heading3"/>
      </w:pPr>
      <w:r>
        <w:t xml:space="preserve">Desde un notebook de Fabric</w:t>
      </w:r>
    </w:p>
    <w:p>
      <w:pPr>
        <w:shd w:fill="EEF3F9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 import notebook as mv</w:t>
      </w:r>
    </w:p>
    <w:p>
      <w:pPr>
        <w:shd w:fill="EEF3F9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EEF3F9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estudios = spark.sql("SELECT * FROM MercadoLH.estudios_hta").toPandas()</w:t>
      </w:r>
    </w:p>
    <w:p>
      <w:pPr>
        <w:shd w:fill="EEF3F9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plan = {"pico": 0.12, "meses_al_pico": 18, "horizonte": 36}</w:t>
      </w:r>
    </w:p>
    <w:p>
      <w:pPr>
        <w:shd w:fill="EEF3F9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analisis = mv.mercado(estudios=estudios, lanzamiento=plan,</w:t>
      </w:r>
    </w:p>
    <w:p>
      <w:pPr>
        <w:shd w:fill="EEF3F9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inicio="2027-01")</w:t>
      </w:r>
    </w:p>
    <w:p>
      <w:pPr>
        <w:shd w:fill="EEF3F9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mv.portafolio_para_powerbi("/lakehouse/default/Files/mv/portafolio",</w:t>
      </w:r>
    </w:p>
    <w:p>
      <w:pPr>
        <w:shd w:fill="EEF3F9" w:color="auto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mercado=analisis)</w:t>
      </w:r>
    </w:p>
    <w:p>
      <w:pPr>
        <w:pStyle w:val="Heading3"/>
      </w:pPr>
      <w:r>
        <w:t xml:space="preserve">Por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78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/api/mercado/plantilla</w:t>
            </w:r>
          </w:p>
        </w:tc>
        <w:tc>
          <w:tcPr>
            <w:tcW w:type="dxa" w:w="578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Plantilla de supuestos en CSV, por países y segmentos</w:t>
            </w:r>
          </w:p>
        </w:tc>
      </w:tr>
      <w:tr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/api/mercado/proponer</w:t>
            </w:r>
          </w:p>
        </w:tc>
        <w:tc>
          <w:tcPr>
            <w:tcW w:type="dxa" w:w="578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Propuesta del motor de IA, marcada «a validar»</w:t>
            </w:r>
          </w:p>
        </w:tc>
      </w:tr>
      <w:tr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/api/mercado/analizar</w:t>
            </w:r>
          </w:p>
        </w:tc>
        <w:tc>
          <w:tcPr>
            <w:tcW w:type="dxa" w:w="578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Embudo, rango, lecturas, tornado, lanzamiento y contraste</w:t>
            </w:r>
          </w:p>
        </w:tc>
      </w:tr>
      <w:tr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/api/mercado/narrar</w:t>
            </w:r>
          </w:p>
        </w:tc>
        <w:tc>
          <w:tcPr>
            <w:tcW w:type="dxa" w:w="578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Lectura ejecutiva redactada por el motor de IA</w:t>
            </w:r>
          </w:p>
        </w:tc>
      </w:tr>
      <w:tr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/api/portafolio/contribucion</w:t>
            </w:r>
          </w:p>
        </w:tc>
        <w:tc>
          <w:tcPr>
            <w:tcW w:type="dxa" w:w="578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 matriz de contribución y mix</w:t>
            </w:r>
          </w:p>
        </w:tc>
      </w:tr>
      <w:tr>
        <w:tc>
          <w:tcPr>
            <w:tcW w:type="dxa" w:w="3855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/api/portafolio/powerbi</w:t>
            </w:r>
          </w:p>
        </w:tc>
        <w:tc>
          <w:tcPr>
            <w:tcW w:type="dxa" w:w="5783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paquete para Power BI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detalle de cada parámetro y el armado de la página de Power BI están en </w:t>
      </w:r>
      <w:r>
        <w:rPr>
          <w:rFonts w:ascii="Consolas" w:cs="Consolas" w:eastAsia="Consolas" w:hAnsi="Consolas"/>
        </w:rPr>
        <w:t xml:space="preserve">docs/PORTAFOLIO_Y_MERCADO.md</w:t>
      </w:r>
      <w:r>
        <w:t xml:space="preserve">.</w:t>
      </w:r>
    </w:p>
    <w:p>
      <w:pPr>
        <w:pStyle w:val="Heading1"/>
        <w:spacing w:after="80" w:before="520"/>
      </w:pPr>
      <w:r>
        <w:rPr>
          <w:color w:val="B07A12"/>
        </w:rPr>
        <w:t xml:space="preserve">08  </w:t>
      </w:r>
      <w:r>
        <w:t xml:space="preserve">Cuánto creerle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TODOS</w:t>
      </w:r>
    </w:p>
    <w:p>
      <w:pPr>
        <w:spacing w:after="120"/>
      </w:pPr>
      <w:r>
        <w:t xml:space="preserve">El rango </w:t>
      </w:r>
      <w:r>
        <w:rPr>
          <w:b/>
          <w:bCs/>
        </w:rPr>
        <w:t xml:space="preserve">P10–P90</w:t>
      </w:r>
      <w:r>
        <w:t xml:space="preserve"> sale de simular todos los supuestos entre su mínimo y su máximo. Mide cuánto se mueve el resultado con lo que no se sabe. </w:t>
      </w:r>
      <w:r>
        <w:rPr>
          <w:b/>
          <w:bCs/>
        </w:rPr>
        <w:t xml:space="preserve">No es</w:t>
      </w:r>
      <w:r>
        <w:t xml:space="preserve"> el error de un modelo medido contra ventas reales: en un lanzamiento no hay ventas reales contra las cuales medir. Por eso el agente lo dice en cada informe.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542"/>
        <w:gridCol w:w="4819"/>
      </w:tblGrid>
      <w:tr>
        <w:trPr>
          <w:tblHeader/>
        </w:trPr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Pieza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8152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Embudo, rango, tornado, lanzamiento, contraste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E3F5E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A7D5A"/>
                <w:sz w:val="19"/>
                <w:szCs w:val="19"/>
              </w:rPr>
              <w:t xml:space="preserve">Verificado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Cuentas exactas probadas a mano y casos de borde.</w:t>
            </w:r>
          </w:p>
        </w:tc>
      </w:tr>
      <w:tr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Agente: propuesta, estudios que pisan, lecturas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E3F5E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A7D5A"/>
                <w:sz w:val="19"/>
                <w:szCs w:val="19"/>
              </w:rPr>
              <w:t xml:space="preserve">Verificado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 un motor de IA simulado en las pruebas.</w:t>
            </w:r>
          </w:p>
        </w:tc>
      </w:tr>
      <w:tr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Matriz de contribución y paquete de Power BI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E3F5E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A7D5A"/>
                <w:sz w:val="19"/>
                <w:szCs w:val="19"/>
              </w:rPr>
              <w:t xml:space="preserve">Verificado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Columnas que usan las medidas DAX y Deneb, comprobadas.</w:t>
            </w:r>
          </w:p>
        </w:tc>
      </w:tr>
      <w:tr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Pantalla del programa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E3F5E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A7D5A"/>
                <w:sz w:val="19"/>
                <w:szCs w:val="19"/>
              </w:rPr>
              <w:t xml:space="preserve">Verificado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Recorrida en un navegador real, sin errores.</w:t>
            </w:r>
          </w:p>
        </w:tc>
      </w:tr>
      <w:tr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Propuesta contra un proveedor de IA real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FBE6E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Pendiente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Falta configurar la clave del proveedor de la empresa.</w:t>
            </w:r>
          </w:p>
        </w:tc>
      </w:tr>
      <w:tr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Tablero en Power BI Desktop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FDF1D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9A6200"/>
                <w:sz w:val="19"/>
                <w:szCs w:val="19"/>
              </w:rPr>
              <w:t xml:space="preserve">Parcial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kit está listo; falta armarlo y validarlo en la herramienta.</w:t>
            </w:r>
          </w:p>
        </w:tc>
      </w:tr>
      <w:tr>
        <w:tc>
          <w:tcPr>
            <w:tcW w:type="dxa" w:w="3277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Estudios de mercado reales</w:t>
            </w:r>
          </w:p>
        </w:tc>
        <w:tc>
          <w:tcPr>
            <w:tcW w:type="dxa" w:w="1542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FBE6E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Pendiente</w:t>
            </w:r>
          </w:p>
        </w:tc>
        <w:tc>
          <w:tcPr>
            <w:tcW w:type="dxa" w:w="4819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Los ejemplos son sintéticos: hay que cargar los estudios de cada país.</w:t>
            </w:r>
          </w:p>
        </w:tc>
      </w:tr>
    </w:tbl>
    <w:p>
      <w:pPr>
        <w:spacing w:after="120"/>
      </w:pPr>
    </w:p>
    <w:p>
      <w:pPr>
        <w:pStyle w:val="Heading1"/>
        <w:spacing w:after="80" w:before="520"/>
      </w:pPr>
      <w:r>
        <w:rPr>
          <w:color w:val="B07A12"/>
        </w:rPr>
        <w:t xml:space="preserve">09  </w:t>
      </w:r>
      <w:r>
        <w:t xml:space="preserve">Preguntas que van a aparecer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GERENTES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¿La IA inventa el mercado?</w:t>
      </w:r>
    </w:p>
    <w:p>
      <w:pPr>
        <w:spacing w:after="120"/>
      </w:pPr>
      <w:r>
        <w:t xml:space="preserve">No decide nada sola. Propone una primera versión cuando no hay estudio, marcada «a validar», y el informe dice cuántos supuestos falta confirmar. Los estudios la reemplazan.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¿Usa datos de pacientes?</w:t>
      </w:r>
    </w:p>
    <w:p>
      <w:pPr>
        <w:spacing w:after="120"/>
      </w:pPr>
      <w:r>
        <w:t xml:space="preserve">No. Trabaja con tasas agregadas por país y segmento (prevalencia, diagnóstico, tratamiento). No identifica a ninguna persona.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¿Sirve para un producto que ya se vende?</w:t>
      </w:r>
    </w:p>
    <w:p>
      <w:pPr>
        <w:spacing w:after="120"/>
      </w:pPr>
      <w:r>
        <w:t xml:space="preserve">Sí, y ahí rinde doble: el contraste con las ventas reales dice si los supuestos cierran y si la proyección por historia tiene techo.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¿Qué pasa si el estudio de un país es viejo?</w:t>
      </w:r>
    </w:p>
    <w:p>
      <w:pPr>
        <w:spacing w:after="120"/>
      </w:pPr>
      <w:r>
        <w:t xml:space="preserve">Se carga igual, con un rango más ancho. El tornado muestra si ese supuesto es el que más pesa; si lo es, conviene actualizarlo primero.</w:t>
      </w:r>
    </w:p>
    <w:p>
      <w:pPr>
        <w:keepNext/>
        <w:spacing w:after="40" w:before="120"/>
      </w:pPr>
      <w:r>
        <w:rPr>
          <w:b/>
          <w:bCs/>
          <w:color w:val="081527"/>
        </w:rPr>
        <w:t xml:space="preserve">¿Y otras áreas terapéuticas?</w:t>
      </w:r>
    </w:p>
    <w:p>
      <w:pPr>
        <w:spacing w:after="120"/>
      </w:pPr>
      <w:r>
        <w:t xml:space="preserve">El embudo es el mismo para cualquier enfermedad crónica o aguda; lo que cambia son los supuestos y la casuística, que el agente pide por área.</w:t>
      </w:r>
    </w:p>
    <w:p>
      <w:pPr>
        <w:pStyle w:val="Heading1"/>
        <w:spacing w:after="80" w:before="520"/>
      </w:pPr>
      <w:r>
        <w:rPr>
          <w:color w:val="B07A12"/>
        </w:rPr>
        <w:t xml:space="preserve">10  </w:t>
      </w:r>
      <w:r>
        <w:t xml:space="preserve">Próximos pasos</w:t>
      </w:r>
    </w:p>
    <w:p>
      <w:pPr>
        <w:spacing w:after="200"/>
      </w:pPr>
      <w:r>
        <w:rPr>
          <w:b/>
          <w:bCs/>
          <w:color w:val="586A80"/>
          <w:spacing w:val="30"/>
          <w:sz w:val="16"/>
          <w:szCs w:val="16"/>
        </w:rPr>
        <w:t xml:space="preserve">PARA TODOS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Cargar los estudios reales</w:t>
      </w:r>
      <w:r>
        <w:t xml:space="preserve">. </w:t>
      </w:r>
      <w:r>
        <w:t xml:space="preserve">Empezar por un área y tres países, con la plantilla del agente y la fuente de cada supuesto.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Probar el método contra un lanzamiento pasado</w:t>
      </w:r>
      <w:r>
        <w:t xml:space="preserve">. </w:t>
      </w:r>
      <w:r>
        <w:t xml:space="preserve">Armar el embudo con lo que se sabía antes de lanzar un producto que ya tiene dos o tres años, y comparar la curva con lo que pasó. Es la prueba honesta del agente.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Conectar el motor de IA de la empresa</w:t>
      </w:r>
      <w:r>
        <w:t xml:space="preserve">. </w:t>
      </w:r>
      <w:r>
        <w:t xml:space="preserve">Para que la propuesta y la lectura ejecutiva corran con el proveedor corporativo.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Armar el tablero en Power BI</w:t>
      </w:r>
      <w:r>
        <w:t xml:space="preserve">. </w:t>
      </w:r>
      <w:r>
        <w:t xml:space="preserve">Con el kit (tema, medidas DAX y burbujas Deneb) y validarlo con el equipo comercial.</w:t>
      </w:r>
    </w:p>
    <w:p>
      <w:pPr>
        <w:pBdr>
          <w:left w:val="single" w:color="F2B441" w:sz="24" w:space="12"/>
        </w:pBdr>
        <w:spacing w:before="360"/>
        <w:ind w:left="240"/>
      </w:pPr>
      <w:r>
        <w:rPr>
          <w:b/>
          <w:bCs/>
          <w:color w:val="081527"/>
          <w:sz w:val="26"/>
          <w:szCs w:val="26"/>
        </w:rPr>
        <w:t xml:space="preserve">El agente no adivina el mercado: lo arma con supuestos a la vista, dice cuáles faltan confirmar y muestra dónde está la gente que hoy no aparece en ninguna base. Eso es lo que convierte una proyección en una decisión.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86A80"/>
        <w:sz w:val="16"/>
        <w:szCs w:val="16"/>
      </w:rPr>
      <w:t xml:space="preserve">MV AutoML Studio · página </w:t>
    </w:r>
    <w:r>
      <w:rPr>
        <w:color w:val="586A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  <w:rPr>
        <w:color w:val="B07A1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B07A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238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081527"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spacing w:after="100" w:before="280"/>
      <w:outlineLvl w:val="2"/>
    </w:pPr>
    <w:rPr>
      <w:b/>
      <w:bCs/>
      <w:color w:val="08152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cb8150f334539ddeba263b67e1f335653e17f40.png"/><Relationship Id="rId9" Type="http://schemas.openxmlformats.org/officeDocument/2006/relationships/image" Target="media/a2878def8691ed012cca939e22b496fcecd62a75.png"/><Relationship Id="rId10" Type="http://schemas.openxmlformats.org/officeDocument/2006/relationships/image" Target="media/351c42c3e7ceeb70ccd6ffd603305d74af6c4c0b.png"/><Relationship Id="rId11" Type="http://schemas.openxmlformats.org/officeDocument/2006/relationships/image" Target="media/66958891ed3071ba1ac40778c049b3a90422cf1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 de mercado</dc:title>
  <dc:creator>Martín Viera</dc:creator>
  <dc:description>Proyectar lanzamientos y ventas mirando también a la gente que no está en ninguna base: quien tiene síntomas y no consulta, quien tiene el diagnóstico y no se trata. Qué hace, de dónde saca los números y cuánto creerle.</dc:description>
  <cp:lastModifiedBy>Un-named</cp:lastModifiedBy>
  <cp:revision>1</cp:revision>
  <dcterms:created xsi:type="dcterms:W3CDTF">2026-10-09T14:52:56.375Z</dcterms:created>
  <dcterms:modified xsi:type="dcterms:W3CDTF">2026-10-09T14:52:56.375Z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