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B07A12"/>
          <w:spacing w:val="40"/>
          <w:sz w:val="20"/>
          <w:szCs w:val="20"/>
        </w:rPr>
        <w:t xml:space="preserve">MV AUTOML STUDIO · GUÍA PARA GERENTES, TÉCNICOS Y LEGAL</w:t>
      </w:r>
    </w:p>
    <w:p>
      <w:pPr>
        <w:spacing w:after="240"/>
      </w:pPr>
      <w:r>
        <w:rPr>
          <w:b/>
          <w:bCs/>
          <w:color w:val="081527"/>
          <w:sz w:val="72"/>
          <w:szCs w:val="72"/>
        </w:rPr>
        <w:t xml:space="preserve">Relacionamiento con consentimiento</w:t>
      </w:r>
    </w:p>
    <w:p>
      <w:pPr>
        <w:pBdr>
          <w:bottom w:val="single" w:color="F2B441" w:sz="18" w:space="12"/>
        </w:pBdr>
        <w:spacing w:after="360"/>
      </w:pPr>
      <w:r>
        <w:rPr>
          <w:color w:val="122238"/>
          <w:sz w:val="28"/>
          <w:szCs w:val="28"/>
        </w:rPr>
        <w:t xml:space="preserve">Una base propia de pacientes, cuidadores y médicos, un recomendador al estilo de un marketplace y una estrategia de comunicación por canal, todo dentro de lo que la ley y cada persona permiten. De dónde salen los datos, qué se puede decir a quién y cómo se mide.</w:t>
      </w:r>
    </w:p>
    <w:p>
      <w:pPr>
        <w:spacing w:after="120"/>
      </w:pPr>
      <w:r>
        <w:rPr>
          <w:color w:val="586A80"/>
        </w:rPr>
        <w:t xml:space="preserve">Versión 1.0 · octubre de 2026 · Martín Viera</w:t>
      </w:r>
    </w:p>
    <w:p>
      <w:pPr>
        <w:spacing w:before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tcBorders>
              <w:top w:val="single" w:color="F2B441" w:sz="12"/>
              <w:left w:val="none" w:color="auto" w:sz="0"/>
              <w:bottom w:val="none" w:color="auto" w:sz="0"/>
              <w:right w:val="none" w:color="auto" w:sz="0"/>
            </w:tcBorders>
            <w:tcMar>
              <w:top w:type="dxa" w:w="120"/>
              <w:left w:type="dxa" w:w="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081527"/>
                <w:sz w:val="56"/>
                <w:szCs w:val="56"/>
              </w:rPr>
              <w:t xml:space="preserve">4</w:t>
            </w:r>
          </w:p>
          <w:p>
            <w:r>
              <w:rPr>
                <w:color w:val="586A80"/>
                <w:sz w:val="18"/>
                <w:szCs w:val="18"/>
              </w:rPr>
              <w:t xml:space="preserve">consentimientos por separado: contacto, comercial, salud y personalización</w:t>
            </w:r>
          </w:p>
        </w:tc>
        <w:tc>
          <w:tcPr>
            <w:tcW w:type="dxa" w:w="2410"/>
            <w:tcBorders>
              <w:top w:val="single" w:color="F2B441" w:sz="12"/>
              <w:left w:val="none" w:color="auto" w:sz="0"/>
              <w:bottom w:val="none" w:color="auto" w:sz="0"/>
              <w:right w:val="none" w:color="auto" w:sz="0"/>
            </w:tcBorders>
            <w:tcMar>
              <w:top w:type="dxa" w:w="120"/>
              <w:left w:type="dxa" w:w="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081527"/>
                <w:sz w:val="56"/>
                <w:szCs w:val="56"/>
              </w:rPr>
              <w:t xml:space="preserve">11</w:t>
            </w:r>
          </w:p>
          <w:p>
            <w:r>
              <w:rPr>
                <w:color w:val="586A80"/>
                <w:sz w:val="18"/>
                <w:szCs w:val="18"/>
              </w:rPr>
              <w:t xml:space="preserve">reglas que se chequean antes de recomendar nada</w:t>
            </w:r>
          </w:p>
        </w:tc>
        <w:tc>
          <w:tcPr>
            <w:tcW w:type="dxa" w:w="2410"/>
            <w:tcBorders>
              <w:top w:val="single" w:color="F2B441" w:sz="12"/>
              <w:left w:val="none" w:color="auto" w:sz="0"/>
              <w:bottom w:val="none" w:color="auto" w:sz="0"/>
              <w:right w:val="none" w:color="auto" w:sz="0"/>
            </w:tcBorders>
            <w:tcMar>
              <w:top w:type="dxa" w:w="120"/>
              <w:left w:type="dxa" w:w="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081527"/>
                <w:sz w:val="56"/>
                <w:szCs w:val="56"/>
              </w:rPr>
              <w:t xml:space="preserve">0</w:t>
            </w:r>
          </w:p>
          <w:p>
            <w:r>
              <w:rPr>
                <w:color w:val="586A80"/>
                <w:sz w:val="18"/>
                <w:szCs w:val="18"/>
              </w:rPr>
              <w:t xml:space="preserve">medicamentos bajo receta promocionados al público</w:t>
            </w:r>
          </w:p>
        </w:tc>
        <w:tc>
          <w:tcPr>
            <w:tcW w:type="dxa" w:w="2408"/>
            <w:tcBorders>
              <w:top w:val="single" w:color="F2B441" w:sz="12"/>
              <w:left w:val="none" w:color="auto" w:sz="0"/>
              <w:bottom w:val="none" w:color="auto" w:sz="0"/>
              <w:right w:val="none" w:color="auto" w:sz="0"/>
            </w:tcBorders>
            <w:tcMar>
              <w:top w:type="dxa" w:w="120"/>
              <w:left w:type="dxa" w:w="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081527"/>
                <w:sz w:val="56"/>
                <w:szCs w:val="56"/>
              </w:rPr>
              <w:t xml:space="preserve">81</w:t>
            </w:r>
          </w:p>
          <w:p>
            <w:r>
              <w:rPr>
                <w:color w:val="586A80"/>
                <w:sz w:val="18"/>
                <w:szCs w:val="18"/>
              </w:rPr>
              <w:t xml:space="preserve">pruebas automáticas sobre el programa</w:t>
            </w:r>
          </w:p>
        </w:tc>
      </w:tr>
    </w:tbl>
    <w:p>
      <w:pPr>
        <w:pStyle w:val="Heading1"/>
        <w:pageBreakBefore/>
        <w:spacing w:after="80" w:before="0"/>
      </w:pPr>
      <w:r>
        <w:rPr>
          <w:color w:val="B07A12"/>
        </w:rPr>
        <w:t xml:space="preserve">01  </w:t>
      </w:r>
      <w:r>
        <w:t xml:space="preserve">En una página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GERENTES</w:t>
      </w:r>
    </w:p>
    <w:p>
      <w:pPr>
        <w:spacing w:after="120"/>
      </w:pPr>
      <w:r>
        <w:rPr>
          <w:sz w:val="24"/>
          <w:szCs w:val="24"/>
        </w:rPr>
        <w:t xml:space="preserve">La idea es la de MercadoLibre o Temu: que cada persona reciba </w:t>
      </w:r>
      <w:r>
        <w:rPr>
          <w:b/>
          <w:bCs/>
          <w:sz w:val="24"/>
          <w:szCs w:val="24"/>
        </w:rPr>
        <w:t xml:space="preserve">lo que más le sirve</w:t>
      </w:r>
      <w:r>
        <w:rPr>
          <w:sz w:val="24"/>
          <w:szCs w:val="24"/>
        </w:rPr>
        <w:t xml:space="preserve">, aprendiendo de lo que hace. La diferencia es de dónde salen los datos y qué se le puede ofrecer: </w:t>
      </w:r>
      <w:r>
        <w:rPr>
          <w:b/>
          <w:bCs/>
          <w:sz w:val="24"/>
          <w:szCs w:val="24"/>
        </w:rPr>
        <w:t xml:space="preserve">sólo datos propios, consentidos, y sólo contenidos que la ley permite enviarle</w:t>
      </w:r>
      <w:r>
        <w:rPr>
          <w:sz w:val="24"/>
          <w:szCs w:val="24"/>
        </w:rPr>
        <w:t xml:space="preserve">.</w:t>
      </w:r>
    </w:p>
    <w:p>
      <w:pPr>
        <w:spacing w:after="120"/>
      </w:pPr>
      <w:r>
        <w:t xml:space="preserve">En criollo: no salimos a leer Twitter para encontrar enfermos. Armamos </w:t>
      </w:r>
      <w:r>
        <w:rPr>
          <w:b/>
          <w:bCs/>
        </w:rPr>
        <w:t xml:space="preserve">nuestra propia base</w:t>
      </w:r>
      <w:r>
        <w:t xml:space="preserve"> con gente que entra porque quiere —un programa de pacientes, una landing de concientización, un registro de médicos, la compra de un producto de venta libre— y que nos dice, finalidad por finalidad, qué podemos hacer con sus datos. Sobre esa base, el programa elige el </w:t>
      </w:r>
      <w:r>
        <w:rPr>
          <w:b/>
          <w:bCs/>
        </w:rPr>
        <w:t xml:space="preserve">siguiente mejor contenido</w:t>
      </w:r>
      <w:r>
        <w:t xml:space="preserve"> para cada persona, igual que un marketplace elige el siguiente producto.</w:t>
      </w:r>
    </w:p>
    <w:p>
      <w:pPr>
        <w:pStyle w:val="Heading3"/>
      </w:pPr>
      <w:r>
        <w:t xml:space="preserve">Qué entrega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Quién se puede contactar, para qué y con qué</w:t>
      </w:r>
      <w:r>
        <w:t xml:space="preserve">, persona por persona, con el motivo cuando algo no se puede enviar.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siguiente mejor contenido</w:t>
      </w:r>
      <w:r>
        <w:t xml:space="preserve"> de cada persona, con el porqué («a quienes les interesó X también les interesó esto»).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embudo de la base</w:t>
      </w:r>
      <w:r>
        <w:t xml:space="preserve">: captados, contactables, con cada consentimiento, alcanzados, activos e inscriptos.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KPIs por contenido</w:t>
      </w:r>
      <w:r>
        <w:t xml:space="preserve">: apertura, clics, conversión, bajas y quejas.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Dónde está el mercado que no alcanzamos</w:t>
      </w:r>
      <w:r>
        <w:t xml:space="preserve">: la base contra el censo y las encuestas de salud, por ciudad, barrio, sexo, edad y nivel socioeconómico.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 qué se habla en redes</w:t>
      </w:r>
      <w:r>
        <w:t xml:space="preserve">, agregado y sin autores, con alerta para farmacovigilancia.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auditoría</w:t>
      </w:r>
      <w:r>
        <w:t xml:space="preserve">: lo que se envió y hoy no cumple, y los países cuyas reglas legal todavía no validó.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Todo en Power BI y en Fabric</w:t>
      </w:r>
      <w:r>
        <w:t xml:space="preserve">: tablas, medidas y un modelo estrella que se cruza con Analysis Services y el data warehouse.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EE9" w:sz="4"/>
              <w:left w:val="single" w:color="081527" w:sz="24"/>
              <w:bottom w:val="single" w:color="D5DEE9" w:sz="4"/>
              <w:right w:val="single" w:color="D5DEE9" w:sz="4"/>
            </w:tcBorders>
            <w:shd w:fill="EEF3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81527"/>
              </w:rPr>
              <w:t xml:space="preserve">La regla que lo hace posible</w:t>
            </w:r>
          </w:p>
          <w:p>
            <w:r>
              <w:rPr>
                <w:sz w:val="20"/>
                <w:szCs w:val="20"/>
              </w:rPr>
              <w:t xml:space="preserve">Las reglas van </w:t>
            </w:r>
            <w:r>
              <w:rPr>
                <w:b/>
                <w:bCs/>
                <w:sz w:val="20"/>
                <w:szCs w:val="20"/>
              </w:rPr>
              <w:t xml:space="preserve">antes</w:t>
            </w:r>
            <w:r>
              <w:rPr>
                <w:sz w:val="20"/>
                <w:szCs w:val="20"/>
              </w:rPr>
              <w:t xml:space="preserve"> del algoritmo. El recomendador nunca ve un contenido que no se le puede enviar a esa persona: un medicamento bajo receta no le llega a un paciente como promoción, le llega la concientización sin marca o el programa del producto que declaró que le recetaron.</w:t>
            </w:r>
          </w:p>
        </w:tc>
      </w:tr>
    </w:tbl>
    <w:p>
      <w:pPr>
        <w:spacing w:after="120"/>
      </w:pPr>
    </w:p>
    <w:p>
      <w:pPr>
        <w:pStyle w:val="Heading1"/>
        <w:spacing w:after="80" w:before="520"/>
      </w:pPr>
      <w:r>
        <w:rPr>
          <w:color w:val="B07A12"/>
        </w:rPr>
        <w:t xml:space="preserve">02  </w:t>
      </w:r>
      <w:r>
        <w:t xml:space="preserve">¿Por qué no hacemos lo mismo que MercadoLibre?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GERENTES</w:t>
      </w:r>
    </w:p>
    <w:p>
      <w:pPr>
        <w:spacing w:after="120"/>
      </w:pPr>
      <w:r>
        <w:t xml:space="preserve">Sí hacemos lo mismo: </w:t>
      </w:r>
      <w:r>
        <w:rPr>
          <w:b/>
          <w:bCs/>
        </w:rPr>
        <w:t xml:space="preserve">el algoritmo es el mismo tipo</w:t>
      </w:r>
      <w:r>
        <w:t xml:space="preserve"> (filtrado colaborativo más historial propio). Lo que no se puede copiar son tres cosas: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De dónde salen los datos</w:t>
      </w:r>
      <w:r>
        <w:t xml:space="preserve">. </w:t>
      </w:r>
      <w:r>
        <w:t xml:space="preserve">Cuando alguien busca vitaminas en MercadoLibre, busca </w:t>
      </w:r>
      <w:r>
        <w:rPr>
          <w:b/>
          <w:bCs/>
        </w:rPr>
        <w:t xml:space="preserve">adentro de MercadoLibre</w:t>
      </w:r>
      <w:r>
        <w:t xml:space="preserve">: está logueado y aceptó sus términos. No es lo mismo que leer lo que alguien publica en otra red y cruzarlo con su mail, su ciudad y su nivel económico. Lo equivalente para nosotros es lo que pasa en nuestros canales.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Qué se recomienda</w:t>
      </w:r>
      <w:r>
        <w:t xml:space="preserve">. </w:t>
      </w:r>
      <w:r>
        <w:t xml:space="preserve">Las vitaminas son de venta libre y se pueden publicitar al público. Un medicamento bajo receta </w:t>
      </w:r>
      <w:r>
        <w:rPr>
          <w:b/>
          <w:bCs/>
        </w:rPr>
        <w:t xml:space="preserve">no se puede promocionar al paciente</w:t>
      </w:r>
      <w:r>
        <w:t xml:space="preserve"> en ninguno de nuestros países: sólo a profesionales. Por eso MercadoLibre tampoco recomienda medicamentos con receta.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El dato de salud es sensible</w:t>
      </w:r>
      <w:r>
        <w:t xml:space="preserve">. </w:t>
      </w:r>
      <w:r>
        <w:t xml:space="preserve">«Compró vitaminas» es un dato de consumo. «Buscó obesidad mórbida» es un dato de salud: todas las leyes de la región piden </w:t>
      </w:r>
      <w:r>
        <w:rPr>
          <w:b/>
          <w:bCs/>
        </w:rPr>
        <w:t xml:space="preserve">consentimiento expreso</w:t>
      </w:r>
      <w:r>
        <w:t xml:space="preserve"> para usarlo, y prohíben inferirlo por la espalda.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EE9" w:sz="4"/>
              <w:left w:val="single" w:color="9A6200" w:sz="24"/>
              <w:bottom w:val="single" w:color="D5DEE9" w:sz="4"/>
              <w:right w:val="single" w:color="D5DEE9" w:sz="4"/>
            </w:tcBorders>
            <w:shd w:fill="FDF1D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6200"/>
              </w:rPr>
              <w:t xml:space="preserve">El riesgo que se evita</w:t>
            </w:r>
          </w:p>
          <w:p>
            <w:r>
              <w:rPr>
                <w:sz w:val="20"/>
                <w:szCs w:val="20"/>
              </w:rPr>
              <w:t xml:space="preserve">Además de multas y de la suspensión de las cuentas en las redes (sus políticas restringen segmentar por condiciones de salud), el riesgo mayor es el titular: </w:t>
            </w:r>
            <w:r>
              <w:rPr>
                <w:b/>
                <w:bCs/>
                <w:sz w:val="20"/>
                <w:szCs w:val="20"/>
              </w:rPr>
              <w:t xml:space="preserve">«laboratorio rastrea enfermos en las redes»</w:t>
            </w:r>
            <w:r>
              <w:rPr>
                <w:sz w:val="20"/>
                <w:szCs w:val="20"/>
              </w:rPr>
              <w:t xml:space="preserve">. Una base consentida no tiene ese titular; tiene pacientes que eligieron estar.</w:t>
            </w:r>
          </w:p>
        </w:tc>
      </w:tr>
    </w:tbl>
    <w:p>
      <w:pPr>
        <w:spacing w:after="120"/>
      </w:pPr>
    </w:p>
    <w:p>
      <w:pPr>
        <w:pStyle w:val="Heading1"/>
        <w:spacing w:after="80" w:before="520"/>
      </w:pPr>
      <w:r>
        <w:rPr>
          <w:color w:val="B07A12"/>
        </w:rPr>
        <w:t xml:space="preserve">03  </w:t>
      </w:r>
      <w:r>
        <w:t xml:space="preserve">De dónde salen los datos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TODOS</w:t>
      </w:r>
    </w:p>
    <w:p>
      <w:pPr>
        <w:spacing w:after="120"/>
      </w:pPr>
      <w:r>
        <w:t xml:space="preserve">Hay dos niveles, y la separación entre los dos es lo que hace todo legal: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4433"/>
        <w:gridCol w:w="3470"/>
      </w:tblGrid>
      <w:tr>
        <w:trPr>
          <w:tblHeader/>
        </w:trPr>
        <w:tc>
          <w:tcPr>
            <w:tcW w:type="dxa" w:w="173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443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Fuentes</w:t>
            </w:r>
          </w:p>
        </w:tc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usa</w:t>
            </w:r>
          </w:p>
        </w:tc>
      </w:tr>
      <w:tr>
        <w:tc>
          <w:tcPr>
            <w:tcW w:type="dxa" w:w="173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Persona</w:t>
            </w:r>
            <w:r>
              <w:rPr>
                <w:sz w:val="19"/>
                <w:szCs w:val="19"/>
              </w:rPr>
              <w:t xml:space="preserve"> (base propia)</w:t>
            </w:r>
          </w:p>
        </w:tc>
        <w:tc>
          <w:tcPr>
            <w:tcW w:type="dxa" w:w="443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Formularios y landings, programa de pacientes, call center, e-commerce de venta libre, eventos, registro de profesionales (matrículas, proveedores licenciados).</w:t>
            </w:r>
          </w:p>
        </w:tc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 consentimiento por finalidad. Sólo lo </w:t>
            </w:r>
            <w:r>
              <w:rPr>
                <w:b/>
                <w:bCs/>
                <w:sz w:val="19"/>
                <w:szCs w:val="19"/>
              </w:rPr>
              <w:t xml:space="preserve">declarado</w:t>
            </w:r>
            <w:r>
              <w:rPr>
                <w:sz w:val="19"/>
                <w:szCs w:val="19"/>
              </w:rPr>
              <w:t xml:space="preserve">: áreas de interés, productos recetados, ciudad y barrio.</w:t>
            </w:r>
          </w:p>
        </w:tc>
      </w:tr>
      <w:tr>
        <w:tc>
          <w:tcPr>
            <w:tcW w:type="dxa" w:w="173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Territorio y segmento</w:t>
            </w:r>
            <w:r>
              <w:rPr>
                <w:sz w:val="19"/>
                <w:szCs w:val="19"/>
              </w:rPr>
              <w:t xml:space="preserve"> (público)</w:t>
            </w:r>
          </w:p>
        </w:tc>
        <w:tc>
          <w:tcPr>
            <w:tcW w:type="dxa" w:w="443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Censos por país, ciudad y barrio, con edad, sexo y nivel socioeconómico (INE, INDEC, INEGI, IBGE, DANE). Encuestas de salud (ENSANUT, ENFR, PNS, ENS, STEPS-OMS, GBD). Mercado (IQVIA, Close-Up). Búsquedas agregadas (Google Trends).</w:t>
            </w:r>
          </w:p>
        </w:tc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Agregado: nunca identifica a nadie. Se cruza con la base </w:t>
            </w:r>
            <w:r>
              <w:rPr>
                <w:b/>
                <w:bCs/>
                <w:sz w:val="19"/>
                <w:szCs w:val="19"/>
              </w:rPr>
              <w:t xml:space="preserve">por el territorio declarado</w:t>
            </w:r>
            <w:r>
              <w:rPr>
                <w:sz w:val="19"/>
                <w:szCs w:val="19"/>
              </w:rPr>
              <w:t xml:space="preserve">, no por la persona.</w:t>
            </w:r>
          </w:p>
        </w:tc>
      </w:tr>
      <w:tr>
        <w:tc>
          <w:tcPr>
            <w:tcW w:type="dxa" w:w="173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Conversación</w:t>
            </w:r>
            <w:r>
              <w:rPr>
                <w:sz w:val="19"/>
                <w:szCs w:val="19"/>
              </w:rPr>
              <w:t xml:space="preserve"> (redes)</w:t>
            </w:r>
          </w:p>
        </w:tc>
        <w:tc>
          <w:tcPr>
            <w:tcW w:type="dxa" w:w="443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Exportación de una herramienta de escucha con licencia, o la API oficial de cada red dentro de sus términos.</w:t>
            </w:r>
          </w:p>
        </w:tc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Sólo conteos: temas, sentimiento, país y semana. Sin autores ni textos.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Ejemplo del cruce: a un contacto que declaró vivir en Pocitos se le asigna el </w:t>
      </w:r>
      <w:r>
        <w:rPr>
          <w:b/>
          <w:bCs/>
        </w:rPr>
        <w:t xml:space="preserve">nivel socioeconómico de Pocitos</w:t>
      </w:r>
      <w:r>
        <w:t xml:space="preserve"> según el censo, no uno inferido para él. Y comparando la base con la población se ve, por barrio, edad y sexo, cuánta gente con la enfermedad estimada hay y cuánta tenemos captada.</w:t>
      </w:r>
    </w:p>
    <w:p>
      <w:pPr>
        <w:pStyle w:val="Heading1"/>
        <w:spacing w:after="80" w:before="520"/>
      </w:pPr>
      <w:r>
        <w:rPr>
          <w:color w:val="B07A12"/>
        </w:rPr>
        <w:t xml:space="preserve">04  </w:t>
      </w:r>
      <w:r>
        <w:t xml:space="preserve">El mapa legal (a validar con legal)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LEGAL Y COMPLIANCE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EE9" w:sz="4"/>
              <w:left w:val="single" w:color="081527" w:sz="24"/>
              <w:bottom w:val="single" w:color="D5DEE9" w:sz="4"/>
              <w:right w:val="single" w:color="D5DEE9" w:sz="4"/>
            </w:tcBorders>
            <w:shd w:fill="EEF3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81527"/>
              </w:rPr>
              <w:t xml:space="preserve">Qué es y qué no es</w:t>
            </w:r>
          </w:p>
          <w:p>
            <w:r>
              <w:rPr>
                <w:sz w:val="20"/>
                <w:szCs w:val="20"/>
              </w:rPr>
              <w:t xml:space="preserve">Un punto de partida para la conversación con legal y compliance, no asesoramiento jurídico. El programa trae </w:t>
            </w:r>
            <w:r>
              <w:rPr>
                <w:b/>
                <w:bCs/>
                <w:sz w:val="20"/>
                <w:szCs w:val="20"/>
              </w:rPr>
              <w:t xml:space="preserve">valores conservadores por defecto</w:t>
            </w:r>
            <w:r>
              <w:rPr>
                <w:sz w:val="20"/>
                <w:szCs w:val="20"/>
              </w:rPr>
              <w:t xml:space="preserve"> en cada país y los marca «a validar» hasta que legal los confirme; los ajustes que legal valide se cargan por país sin tocar código.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277"/>
        <w:gridCol w:w="1542"/>
        <w:gridCol w:w="3662"/>
      </w:tblGrid>
      <w:tr>
        <w:trPr>
          <w:tblHeader/>
        </w:trPr>
        <w:tc>
          <w:tcPr>
            <w:tcW w:type="dxa" w:w="115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País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Datos personales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Autoridad sanitaria</w:t>
            </w:r>
          </w:p>
        </w:tc>
        <w:tc>
          <w:tcPr>
            <w:tcW w:type="dxa" w:w="366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 que el programa asume</w:t>
            </w:r>
          </w:p>
        </w:tc>
      </w:tr>
      <w:tr>
        <w:tc>
          <w:tcPr>
            <w:tcW w:type="dxa" w:w="115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Uruguay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Ley 18.331 (URCDP). Salud es dato sensible: consentimiento expreso.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MSP</w:t>
            </w:r>
          </w:p>
        </w:tc>
        <w:tc>
          <w:tcPr>
            <w:tcW w:type="dxa" w:w="366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Rx sólo a profesionales; venta libre al público con permiso comercial.</w:t>
            </w:r>
          </w:p>
        </w:tc>
      </w:tr>
      <w:tr>
        <w:tc>
          <w:tcPr>
            <w:tcW w:type="dxa" w:w="115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Argentina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Ley 25.326 (AAIP). Datos sensibles; registro de bases.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ANMAT</w:t>
            </w:r>
          </w:p>
        </w:tc>
        <w:tc>
          <w:tcPr>
            <w:tcW w:type="dxa" w:w="366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Ídem.</w:t>
            </w:r>
          </w:p>
        </w:tc>
      </w:tr>
      <w:tr>
        <w:tc>
          <w:tcPr>
            <w:tcW w:type="dxa" w:w="115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México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LFPDPPP (ley nueva de 2025). Sensibles: consentimiento expreso y por escrito.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COFEPRIS</w:t>
            </w:r>
          </w:p>
        </w:tc>
        <w:tc>
          <w:tcPr>
            <w:tcW w:type="dxa" w:w="366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Ídem; la publicidad de venta libre requiere permiso.</w:t>
            </w:r>
          </w:p>
        </w:tc>
      </w:tr>
      <w:tr>
        <w:tc>
          <w:tcPr>
            <w:tcW w:type="dxa" w:w="115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Brasil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LGPD (ANPD). Dato de salud: consentimiento específico y destacado.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ANVISA</w:t>
            </w:r>
          </w:p>
        </w:tc>
        <w:tc>
          <w:tcPr>
            <w:tcW w:type="dxa" w:w="366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Ídem.</w:t>
            </w:r>
          </w:p>
        </w:tc>
      </w:tr>
      <w:tr>
        <w:tc>
          <w:tcPr>
            <w:tcW w:type="dxa" w:w="115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Colombia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Ley 1581 (SIC). Autorización previa, expresa e informada; registro de bases.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INVIMA</w:t>
            </w:r>
          </w:p>
        </w:tc>
        <w:tc>
          <w:tcPr>
            <w:tcW w:type="dxa" w:w="366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Ídem.</w:t>
            </w:r>
          </w:p>
        </w:tc>
      </w:tr>
      <w:tr>
        <w:tc>
          <w:tcPr>
            <w:tcW w:type="dxa" w:w="115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Chile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Ley 19.628, reformada por la Ley 21.719 (verificar vigencia).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ISP</w:t>
            </w:r>
          </w:p>
        </w:tc>
        <w:tc>
          <w:tcPr>
            <w:tcW w:type="dxa" w:w="366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Ídem.</w:t>
            </w:r>
          </w:p>
        </w:tc>
      </w:tr>
      <w:tr>
        <w:tc>
          <w:tcPr>
            <w:tcW w:type="dxa" w:w="115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Perú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Ley 29733 (ANPD).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DIGEMID</w:t>
            </w:r>
          </w:p>
        </w:tc>
        <w:tc>
          <w:tcPr>
            <w:tcW w:type="dxa" w:w="366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Ídem.</w:t>
            </w:r>
          </w:p>
        </w:tc>
      </w:tr>
      <w:tr>
        <w:tc>
          <w:tcPr>
            <w:tcW w:type="dxa" w:w="115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Ecuador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Ley Orgánica de Protección de Datos Personales.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ARCSA</w:t>
            </w:r>
          </w:p>
        </w:tc>
        <w:tc>
          <w:tcPr>
            <w:tcW w:type="dxa" w:w="366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Ídem.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Encima de las leyes van los </w:t>
      </w:r>
      <w:r>
        <w:rPr>
          <w:b/>
          <w:bCs/>
        </w:rPr>
        <w:t xml:space="preserve">códigos de ética de la industria</w:t>
      </w:r>
      <w:r>
        <w:t xml:space="preserve"> (IFPMA y las cámaras locales) y las </w:t>
      </w:r>
      <w:r>
        <w:rPr>
          <w:b/>
          <w:bCs/>
        </w:rPr>
        <w:t xml:space="preserve">políticas de publicidad de cada red</w:t>
      </w:r>
      <w:r>
        <w:t xml:space="preserve">, que restringen la segmentación por condiciones de salud y exigen cumplir la regulación local de medicamentos.</w:t>
      </w:r>
    </w:p>
    <w:p>
      <w:pPr>
        <w:pStyle w:val="Heading1"/>
        <w:spacing w:after="80" w:before="520"/>
      </w:pPr>
      <w:r>
        <w:rPr>
          <w:color w:val="B07A12"/>
        </w:rPr>
        <w:t xml:space="preserve">05  </w:t>
      </w:r>
      <w:r>
        <w:t xml:space="preserve">Qué decir, a quién y por dónde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GERENTES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542"/>
        <w:gridCol w:w="3277"/>
        <w:gridCol w:w="2891"/>
      </w:tblGrid>
      <w:tr>
        <w:trPr>
          <w:tblHeader/>
        </w:trPr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quién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 puede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se puede</w:t>
            </w:r>
          </w:p>
        </w:tc>
      </w:tr>
      <w:tr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Concientización sin marca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Educar sobre la enfermedad, invitar a consultar, captar con consentimiento.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Nombrar el producto bajo receta o insinuarlo.</w:t>
            </w:r>
          </w:p>
        </w:tc>
      </w:tr>
      <w:tr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Programa de pacientes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Quien declaró la receta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Adherencia, recordatorios, acompañamiento, beneficios del producto recetado.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Usarlo para promocionar otros productos bajo receta.</w:t>
            </w:r>
          </w:p>
        </w:tc>
      </w:tr>
      <w:tr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Venta libre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Promoción de marca y recomendación «estilo marketplace», con permiso comercial.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Prometer efectos que la autoridad no aprobó.</w:t>
            </w:r>
          </w:p>
        </w:tc>
      </w:tr>
      <w:tr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Profesionales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Médicos registrados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Promoción de productos bajo receta, educación médica, estudios.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Regalos o beneficios fuera del código de ética.</w:t>
            </w:r>
          </w:p>
        </w:tc>
      </w:tr>
      <w:tr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Escucha social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Nadie en particular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Detectar temas, dudas y sentimiento; ajustar contenidos.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Contactar o perfilar a quien publicó.</w:t>
            </w:r>
          </w:p>
        </w:tc>
      </w:tr>
      <w:tr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Pauta en redes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Audiencias amplias</w:t>
            </w:r>
          </w:p>
        </w:tc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Concientización con segmentación por contexto, edad y región.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Audiencias armadas con datos de salud.</w:t>
            </w:r>
          </w:p>
        </w:tc>
      </w:tr>
    </w:tbl>
    <w:p>
      <w:pPr>
        <w:spacing w:after="120"/>
      </w:pPr>
    </w:p>
    <w:p>
      <w:pPr>
        <w:pStyle w:val="Heading1"/>
        <w:spacing w:after="80" w:before="520"/>
      </w:pPr>
      <w:r>
        <w:rPr>
          <w:color w:val="B07A12"/>
        </w:rPr>
        <w:t xml:space="preserve">06  </w:t>
      </w:r>
      <w:r>
        <w:t xml:space="preserve">Cómo se pide el consentimiento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TODOS</w:t>
      </w:r>
    </w:p>
    <w:p>
      <w:pPr>
        <w:spacing w:after="120"/>
      </w:pPr>
      <w:r>
        <w:t xml:space="preserve">El consentimiento se pide </w:t>
      </w:r>
      <w:r>
        <w:rPr>
          <w:b/>
          <w:bCs/>
        </w:rPr>
        <w:t xml:space="preserve">por finalidad</w:t>
      </w:r>
      <w:r>
        <w:t xml:space="preserve">, con casillas separadas y </w:t>
      </w:r>
      <w:r>
        <w:rPr>
          <w:b/>
          <w:bCs/>
        </w:rPr>
        <w:t xml:space="preserve">ninguna marcada de antemano</w:t>
      </w:r>
      <w:r>
        <w:t xml:space="preserve">. Cada una se puede retirar sola: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819"/>
        <w:gridCol w:w="2891"/>
      </w:tblGrid>
      <w:tr>
        <w:trPr>
          <w:tblHeader/>
        </w:trPr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Casilla</w:t>
            </w:r>
          </w:p>
        </w:tc>
        <w:tc>
          <w:tcPr>
            <w:tcW w:type="dxa" w:w="481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Texto de ejemplo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habilita</w:t>
            </w:r>
          </w:p>
        </w:tc>
      </w:tr>
      <w:tr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Contacto</w:t>
            </w:r>
          </w:p>
        </w:tc>
        <w:tc>
          <w:tcPr>
            <w:tcW w:type="dxa" w:w="481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«Quiero recibir información de salud y novedades del programa por email o WhatsApp.»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Que se le escriba.</w:t>
            </w:r>
          </w:p>
        </w:tc>
      </w:tr>
      <w:tr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Comercial</w:t>
            </w:r>
          </w:p>
        </w:tc>
        <w:tc>
          <w:tcPr>
            <w:tcW w:type="dxa" w:w="481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«Acepto recibir ofertas y promociones de productos de venta libre.»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Promoción de marca y beneficios.</w:t>
            </w:r>
          </w:p>
        </w:tc>
      </w:tr>
      <w:tr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Salud</w:t>
            </w:r>
          </w:p>
        </w:tc>
        <w:tc>
          <w:tcPr>
            <w:tcW w:type="dxa" w:w="481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«Autorizo el uso de las áreas de salud y tratamientos que declaro para recibir contenido sobre ellos.»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Contenidos por área y programas.</w:t>
            </w:r>
          </w:p>
        </w:tc>
      </w:tr>
      <w:tr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Personalización</w:t>
            </w:r>
          </w:p>
        </w:tc>
        <w:tc>
          <w:tcPr>
            <w:tcW w:type="dxa" w:w="481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«Acepto que se use mi actividad (aperturas, clics) para elegir lo que me llega.»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El historial y el «a otros como vos».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Aviso de privacidad</w:t>
      </w:r>
      <w:r>
        <w:t xml:space="preserve"> en lenguaje claro, con responsable, finalidades, plazo y cómo ejercer derechos.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Doble confirmación</w:t>
      </w:r>
      <w:r>
        <w:t xml:space="preserve"> (doble opt-in) donde legal lo pida: se activa por país.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Evidencia</w:t>
      </w:r>
      <w:r>
        <w:t xml:space="preserve">: fecha, canal y versión del texto aceptado, guardados en el CRM.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Baja en un clic</w:t>
      </w:r>
      <w:r>
        <w:t xml:space="preserve"> en cada envío; una baja registrada en un envío se respeta aunque el CRM todavía no la tenga.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Minimización</w:t>
      </w:r>
      <w:r>
        <w:t xml:space="preserve">: la analítica trabaja con un id seudónimo; el mail, el teléfono y el nombre se quedan en el CRM. Si llegan datos de salud sin consentimiento de salud, no se usan y el programa avisa.</w:t>
      </w:r>
    </w:p>
    <w:p>
      <w:pPr>
        <w:pStyle w:val="Heading1"/>
        <w:spacing w:after="80" w:before="520"/>
      </w:pPr>
      <w:r>
        <w:rPr>
          <w:color w:val="B07A12"/>
        </w:rPr>
        <w:t xml:space="preserve">07  </w:t>
      </w:r>
      <w:r>
        <w:t xml:space="preserve">Cómo elige el siguiente mejor contenido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TÉCNICOS</w:t>
      </w:r>
    </w:p>
    <w:p>
      <w:pPr>
        <w:spacing w:after="120"/>
      </w:pPr>
      <w:r>
        <w:t xml:space="preserve">Dos pasos, siempre en este orden: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Primero, las reglas</w:t>
      </w:r>
      <w:r>
        <w:t xml:space="preserve">. </w:t>
      </w:r>
      <w:r>
        <w:t xml:space="preserve">Para cada par persona × contenido se busca el primer motivo que lo bloquea: baja, falta de consentimiento, doble confirmación, país, audiencia, receta al público, área no declarada, programa sin receta declarada. Lo que queda es lo </w:t>
      </w:r>
      <w:r>
        <w:rPr>
          <w:b/>
          <w:bCs/>
        </w:rPr>
        <w:t xml:space="preserve">elegible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Después, el puntaje</w:t>
      </w:r>
      <w:r>
        <w:t xml:space="preserve">. </w:t>
      </w:r>
      <w:r>
        <w:t xml:space="preserve">Entre lo elegible, se ordena por lo que más le sirve a la persona, se saca lo que se le envió en los últimos 30 días, aquello en lo que ya se inscribió y lo que motivó una queja, y se respeta el </w:t>
      </w:r>
      <w:r>
        <w:rPr>
          <w:b/>
          <w:bCs/>
        </w:rPr>
        <w:t xml:space="preserve">tope de envíos por mes</w:t>
      </w:r>
      <w:r>
        <w:t xml:space="preserve"> de su país.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1735"/>
        <w:gridCol w:w="2891"/>
      </w:tblGrid>
      <w:tr>
        <w:trPr>
          <w:tblHeader/>
        </w:trPr>
        <w:tc>
          <w:tcPr>
            <w:tcW w:type="dxa" w:w="501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 del puntaje</w:t>
            </w:r>
          </w:p>
        </w:tc>
        <w:tc>
          <w:tcPr>
            <w:tcW w:type="dxa" w:w="173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Requiere</w:t>
            </w:r>
          </w:p>
        </w:tc>
      </w:tr>
      <w:tr>
        <w:tc>
          <w:tcPr>
            <w:tcW w:type="dxa" w:w="501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Tipo de contenido (programa 3; concientización y educación 2; beneficio y marca 1,5)</w:t>
            </w:r>
          </w:p>
        </w:tc>
        <w:tc>
          <w:tcPr>
            <w:tcW w:type="dxa" w:w="173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base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nada</w:t>
            </w:r>
          </w:p>
        </w:tc>
      </w:tr>
      <w:tr>
        <w:tc>
          <w:tcPr>
            <w:tcW w:type="dxa" w:w="501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El área está entre las que declaró</w:t>
            </w:r>
          </w:p>
        </w:tc>
        <w:tc>
          <w:tcPr>
            <w:tcW w:type="dxa" w:w="173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+2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consentimiento de salud</w:t>
            </w:r>
          </w:p>
        </w:tc>
      </w:tr>
      <w:tr>
        <w:tc>
          <w:tcPr>
            <w:tcW w:type="dxa" w:w="501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Lo que mejor funciona en general (interés por envío, suavizado)</w:t>
            </w:r>
          </w:p>
        </w:tc>
        <w:tc>
          <w:tcPr>
            <w:tcW w:type="dxa" w:w="173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hasta +2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nada: no es perfilado</w:t>
            </w:r>
          </w:p>
        </w:tc>
      </w:tr>
      <w:tr>
        <w:tc>
          <w:tcPr>
            <w:tcW w:type="dxa" w:w="501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Su afinidad con ese tipo de contenido (su historial)</w:t>
            </w:r>
          </w:p>
        </w:tc>
        <w:tc>
          <w:tcPr>
            <w:tcW w:type="dxa" w:w="173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±1,5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personalización</w:t>
            </w:r>
          </w:p>
        </w:tc>
      </w:tr>
      <w:tr>
        <w:tc>
          <w:tcPr>
            <w:tcW w:type="dxa" w:w="501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«A quienes les interesó X también les interesó esto» (coseno entre contenidos)</w:t>
            </w:r>
          </w:p>
        </w:tc>
        <w:tc>
          <w:tcPr>
            <w:tcW w:type="dxa" w:w="173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hasta +3</w:t>
            </w:r>
          </w:p>
        </w:tc>
        <w:tc>
          <w:tcPr>
            <w:tcW w:type="dxa" w:w="289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personalización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Cada recomendación sale con su porqué en texto, para que el equipo y la persona entiendan por qué le llegó.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2752725"/>
            <wp:effectExtent t="0" r="0" b="0" l="0"/>
            <wp:docPr id="1" name="img/recomendaciones.png" descr="Ejemplo con datos sintéticos: el siguiente mejor contenido por persona (id seudónimo), con el puntaje, si está personalizado y el porqué." title="Ejemplo con datos sintéticos: el siguiente mejor contenido por persona (id seudónimo), con el puntaje, si está personalizado y el porqué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86A80"/>
          <w:sz w:val="17"/>
          <w:szCs w:val="17"/>
        </w:rPr>
        <w:t xml:space="preserve">Ejemplo con datos sintéticos: el siguiente mejor contenido por persona (id seudónimo), con el puntaje, si está personalizado y el porqué.</w:t>
      </w:r>
    </w:p>
    <w:p>
      <w:pPr>
        <w:pStyle w:val="Heading1"/>
        <w:spacing w:after="80" w:before="520"/>
      </w:pPr>
      <w:r>
        <w:rPr>
          <w:color w:val="B07A12"/>
        </w:rPr>
        <w:t xml:space="preserve">08  </w:t>
      </w:r>
      <w:r>
        <w:t xml:space="preserve">Cómo se ve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GERENTES</w:t>
      </w:r>
    </w:p>
    <w:p>
      <w:pPr>
        <w:spacing w:after="120"/>
      </w:pPr>
      <w:r>
        <w:t xml:space="preserve">En la pestaña </w:t>
      </w:r>
      <w:r>
        <w:rPr>
          <w:b/>
          <w:bCs/>
        </w:rPr>
        <w:t xml:space="preserve">Relacionamiento</w:t>
      </w:r>
      <w:r>
        <w:t xml:space="preserve"> se eligen las tablas (las dos propias son obligatorias; las públicas, opcionales) y se analiza. Arriba, el resumen; el último número dice cuántos envíos del historial hoy no cumplirían.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800100"/>
            <wp:effectExtent t="0" r="0" b="0" l="0"/>
            <wp:docPr id="2" name="img/tarjetas.png" descr="Contactos y su porcentaje contactable, recomendaciones y envíos a revisar con compliance." title="Contactos y su porcentaje contactable, recomendaciones y envíos a revisar con complia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86A80"/>
          <w:sz w:val="17"/>
          <w:szCs w:val="17"/>
        </w:rPr>
        <w:t xml:space="preserve">Contactos y su porcentaje contactable, recomendaciones y envíos a revisar con compliance.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2143125"/>
            <wp:effectExtent t="0" r="0" b="0" l="0"/>
            <wp:docPr id="3" name="img/embudo_bloqueos.png" descr="El embudo de la base y por qué no se envía lo que no se envía. El motivo más común en el ejemplo es «área no declarada»: el programa no infiere enfermedades." title="El embudo de la base y por qué no se envía lo que no se envía. El motivo más común en el ejemplo es «área no declarada»: el programa no infiere enfermeda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86A80"/>
          <w:sz w:val="17"/>
          <w:szCs w:val="17"/>
        </w:rPr>
        <w:t xml:space="preserve">El embudo de la base y por qué no se envía lo que no se envía. El motivo más común en el ejemplo es «área no declarada»: el programa no infiere enfermedades.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2867025"/>
            <wp:effectExtent t="0" r="0" b="0" l="0"/>
            <wp:docPr id="4" name="img/cobertura.png" descr="El mercado sin alcanzar: casos estimados con censo y prevalencias contra la base. Los conteos de 1 a 9 (en la base o captados del área) no se publican, y si queda una sola celda oculta en una zona se oculta también la siguiente, para que no se despeje restando." title="El mercado sin alcanzar: casos estimados con censo y prevalencias contra la base. Los conteos de 1 a 9 (en la base o captados del área) no se publican, y si queda una sola celda oculta en una zona se oculta también la siguiente, para que no se despeje restan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86A80"/>
          <w:sz w:val="17"/>
          <w:szCs w:val="17"/>
        </w:rPr>
        <w:t xml:space="preserve">El mercado sin alcanzar: casos estimados con censo y prevalencias contra la base. Los conteos de 1 a 9 (en la base o captados del área) no se publican, y si queda una sola celda oculta en una zona se oculta también la siguiente, para que no se despeje restando.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2162175"/>
            <wp:effectExtent t="0" r="0" b="0" l="0"/>
            <wp:docPr id="5" name="img/politicas.png" descr="Las reglas por país, con su ley, autoridad, tope de envíos y si legal ya las validó." title="Las reglas por país, con su ley, autoridad, tope de envíos y si legal ya las validó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86A80"/>
          <w:sz w:val="17"/>
          <w:szCs w:val="17"/>
        </w:rPr>
        <w:t xml:space="preserve">Las reglas por país, con su ley, autoridad, tope de envíos y si legal ya las validó.</w:t>
      </w:r>
    </w:p>
    <w:p>
      <w:pPr>
        <w:pStyle w:val="Heading1"/>
        <w:spacing w:after="80" w:before="520"/>
      </w:pPr>
      <w:r>
        <w:rPr>
          <w:color w:val="B07A12"/>
        </w:rPr>
        <w:t xml:space="preserve">09  </w:t>
      </w:r>
      <w:r>
        <w:t xml:space="preserve">Qué se mide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GERENTES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241"/>
        <w:gridCol w:w="3084"/>
      </w:tblGrid>
      <w:tr>
        <w:trPr>
          <w:tblHeader/>
        </w:trPr>
        <w:tc>
          <w:tcPr>
            <w:tcW w:type="dxa" w:w="231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24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  <w:tc>
          <w:tcPr>
            <w:tcW w:type="dxa" w:w="308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</w:tr>
      <w:tr>
        <w:tc>
          <w:tcPr>
            <w:tcW w:type="dxa" w:w="231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% contactable</w:t>
            </w:r>
          </w:p>
        </w:tc>
        <w:tc>
          <w:tcPr>
            <w:tcW w:type="dxa" w:w="424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Contactables / captados</w:t>
            </w:r>
          </w:p>
        </w:tc>
        <w:tc>
          <w:tcPr>
            <w:tcW w:type="dxa" w:w="308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Calidad de la captación.</w:t>
            </w:r>
          </w:p>
        </w:tc>
      </w:tr>
      <w:tr>
        <w:tc>
          <w:tcPr>
            <w:tcW w:type="dxa" w:w="231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% con cada consentimiento</w:t>
            </w:r>
          </w:p>
        </w:tc>
        <w:tc>
          <w:tcPr>
            <w:tcW w:type="dxa" w:w="424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 comercial, salud o personalización / contactables</w:t>
            </w:r>
          </w:p>
        </w:tc>
        <w:tc>
          <w:tcPr>
            <w:tcW w:type="dxa" w:w="308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Qué tanto se puede hacer con la base.</w:t>
            </w:r>
          </w:p>
        </w:tc>
      </w:tr>
      <w:tr>
        <w:tc>
          <w:tcPr>
            <w:tcW w:type="dxa" w:w="231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Alcance</w:t>
            </w:r>
          </w:p>
        </w:tc>
        <w:tc>
          <w:tcPr>
            <w:tcW w:type="dxa" w:w="424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Personas con al menos un envío</w:t>
            </w:r>
          </w:p>
        </w:tc>
        <w:tc>
          <w:tcPr>
            <w:tcW w:type="dxa" w:w="308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Cobertura de la comunicación.</w:t>
            </w:r>
          </w:p>
        </w:tc>
      </w:tr>
      <w:tr>
        <w:tc>
          <w:tcPr>
            <w:tcW w:type="dxa" w:w="231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Apertura y CTR</w:t>
            </w:r>
          </w:p>
        </w:tc>
        <w:tc>
          <w:tcPr>
            <w:tcW w:type="dxa" w:w="424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Aperturas y clics / envíos, por contenido, tipo y canal</w:t>
            </w:r>
          </w:p>
        </w:tc>
        <w:tc>
          <w:tcPr>
            <w:tcW w:type="dxa" w:w="308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Qué contenido interesa.</w:t>
            </w:r>
          </w:p>
        </w:tc>
      </w:tr>
      <w:tr>
        <w:tc>
          <w:tcPr>
            <w:tcW w:type="dxa" w:w="231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Conversión</w:t>
            </w:r>
          </w:p>
        </w:tc>
        <w:tc>
          <w:tcPr>
            <w:tcW w:type="dxa" w:w="424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Inscripciones al programa y canjes / envíos</w:t>
            </w:r>
          </w:p>
        </w:tc>
        <w:tc>
          <w:tcPr>
            <w:tcW w:type="dxa" w:w="308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Valor para el paciente y para el negocio.</w:t>
            </w:r>
          </w:p>
        </w:tc>
      </w:tr>
      <w:tr>
        <w:tc>
          <w:tcPr>
            <w:tcW w:type="dxa" w:w="231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Bajas y quejas</w:t>
            </w:r>
          </w:p>
        </w:tc>
        <w:tc>
          <w:tcPr>
            <w:tcW w:type="dxa" w:w="424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Bajas y quejas / envíos</w:t>
            </w:r>
          </w:p>
        </w:tc>
        <w:tc>
          <w:tcPr>
            <w:tcW w:type="dxa" w:w="308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 se está cansando a la gente.</w:t>
            </w:r>
          </w:p>
        </w:tc>
      </w:tr>
      <w:tr>
        <w:tc>
          <w:tcPr>
            <w:tcW w:type="dxa" w:w="231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Penetración por zona</w:t>
            </w:r>
          </w:p>
        </w:tc>
        <w:tc>
          <w:tcPr>
            <w:tcW w:type="dxa" w:w="424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Captados del área / casos estimados</w:t>
            </w:r>
          </w:p>
        </w:tc>
        <w:tc>
          <w:tcPr>
            <w:tcW w:type="dxa" w:w="308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Dónde está el mercado latente sin alcanzar.</w:t>
            </w:r>
          </w:p>
        </w:tc>
      </w:tr>
      <w:tr>
        <w:tc>
          <w:tcPr>
            <w:tcW w:type="dxa" w:w="231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Envíos a revisar</w:t>
            </w:r>
          </w:p>
        </w:tc>
        <w:tc>
          <w:tcPr>
            <w:tcW w:type="dxa" w:w="424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Envíos del historial que no cumplen las reglas de hoy</w:t>
            </w:r>
          </w:p>
        </w:tc>
        <w:tc>
          <w:tcPr>
            <w:tcW w:type="dxa" w:w="308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Cumplimiento: tiene que ser cero.</w:t>
            </w:r>
          </w:p>
        </w:tc>
      </w:tr>
    </w:tbl>
    <w:p>
      <w:pPr>
        <w:spacing w:after="120"/>
      </w:pPr>
    </w:p>
    <w:p>
      <w:pPr>
        <w:pStyle w:val="Heading1"/>
        <w:spacing w:after="80" w:before="520"/>
      </w:pPr>
      <w:r>
        <w:rPr>
          <w:color w:val="B07A12"/>
        </w:rPr>
        <w:t xml:space="preserve">10  </w:t>
      </w:r>
      <w:r>
        <w:t xml:space="preserve">En Fabric y Power BI, junto a lo que ya hay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TÉCNICOS</w:t>
      </w:r>
    </w:p>
    <w:p>
      <w:pPr>
        <w:spacing w:after="120"/>
      </w:pPr>
      <w:r>
        <w:t xml:space="preserve">Todo sale en dos formatos desde el botón </w:t>
      </w:r>
      <w:r>
        <w:rPr>
          <w:b/>
          <w:bCs/>
        </w:rPr>
        <w:t xml:space="preserve">Power BI y Fabric</w:t>
      </w:r>
      <w:r>
        <w:t xml:space="preserve"> o desde un notebook (</w:t>
      </w:r>
      <w:r>
        <w:rPr>
          <w:rFonts w:ascii="Consolas" w:cs="Consolas" w:eastAsia="Consolas" w:hAnsi="Consolas"/>
        </w:rPr>
        <w:t xml:space="preserve">mv.relacionamiento(...)</w:t>
      </w:r>
      <w:r>
        <w:t xml:space="preserve"> y </w:t>
      </w:r>
      <w:r>
        <w:rPr>
          <w:rFonts w:ascii="Consolas" w:cs="Consolas" w:eastAsia="Consolas" w:hAnsi="Consolas"/>
        </w:rPr>
        <w:t xml:space="preserve">mv.relacionamiento_para_powerbi(...)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Tablas del tablero</w:t>
      </w:r>
      <w:r>
        <w:t xml:space="preserve"> (</w:t>
      </w:r>
      <w:r>
        <w:rPr>
          <w:rFonts w:ascii="Consolas" w:cs="Consolas" w:eastAsia="Consolas" w:hAnsi="Consolas"/>
        </w:rPr>
        <w:t xml:space="preserve">relacionamiento_*</w:t>
      </w:r>
      <w:r>
        <w:t xml:space="preserve">) y </w:t>
      </w:r>
      <w:r>
        <w:rPr>
          <w:rFonts w:ascii="Consolas" w:cs="Consolas" w:eastAsia="Consolas" w:hAnsi="Consolas"/>
        </w:rPr>
        <w:t xml:space="preserve">medidas_relacionamiento.dax</w:t>
      </w:r>
      <w:r>
        <w:t xml:space="preserve">: embudo, KPIs por contenido, recomendaciones, bloqueos, envíos a revisar, cobertura, escucha y farmacovigilancia.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Modelo estrella</w:t>
      </w:r>
      <w:r>
        <w:t xml:space="preserve"> en </w:t>
      </w:r>
      <w:r>
        <w:rPr>
          <w:rFonts w:ascii="Consolas" w:cs="Consolas" w:eastAsia="Consolas" w:hAnsi="Consolas"/>
        </w:rPr>
        <w:t xml:space="preserve">modelo_fabric/</w:t>
      </w:r>
      <w:r>
        <w:t xml:space="preserve">, con </w:t>
      </w:r>
      <w:r>
        <w:rPr>
          <w:rFonts w:ascii="Consolas" w:cs="Consolas" w:eastAsia="Consolas" w:hAnsi="Consolas"/>
        </w:rPr>
        <w:t xml:space="preserve">crear_tablas.sql</w:t>
      </w:r>
      <w:r>
        <w:t xml:space="preserve"> (DDL Delta), </w:t>
      </w:r>
      <w:r>
        <w:rPr>
          <w:rFonts w:ascii="Consolas" w:cs="Consolas" w:eastAsia="Consolas" w:hAnsi="Consolas"/>
        </w:rPr>
        <w:t xml:space="preserve">modelo.json</w:t>
      </w:r>
      <w:r>
        <w:t xml:space="preserve"> (relaciones) y </w:t>
      </w:r>
      <w:r>
        <w:rPr>
          <w:rFonts w:ascii="Consolas" w:cs="Consolas" w:eastAsia="Consolas" w:hAnsi="Consolas"/>
        </w:rPr>
        <w:t xml:space="preserve">cargar_en_lakehouse.py</w:t>
      </w:r>
      <w:r>
        <w:t xml:space="preserve"> (la celda que las carga).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70"/>
        <w:gridCol w:w="3469"/>
      </w:tblGrid>
      <w:tr>
        <w:trPr>
          <w:tblHeader/>
        </w:trPr>
        <w:tc>
          <w:tcPr>
            <w:tcW w:type="dxa" w:w="269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Grano</w:t>
            </w:r>
          </w:p>
        </w:tc>
        <w:tc>
          <w:tcPr>
            <w:tcW w:type="dxa" w:w="346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 relaciona con</w:t>
            </w:r>
          </w:p>
        </w:tc>
      </w:tr>
      <w:tr>
        <w:tc>
          <w:tcPr>
            <w:tcW w:type="dxa" w:w="269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dim_geografia</w:t>
            </w:r>
          </w:p>
        </w:tc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país · ciudad · barrio</w:t>
            </w:r>
          </w:p>
        </w:tc>
        <w:tc>
          <w:tcPr>
            <w:tcW w:type="dxa" w:w="346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contactos, población, prevalencias, escucha, cobertura</w:t>
            </w:r>
          </w:p>
        </w:tc>
      </w:tr>
      <w:tr>
        <w:tc>
          <w:tcPr>
            <w:tcW w:type="dxa" w:w="269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dim_contacto</w:t>
            </w:r>
          </w:p>
        </w:tc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persona (id seudónimo), con consentimientos</w:t>
            </w:r>
          </w:p>
        </w:tc>
        <w:tc>
          <w:tcPr>
            <w:tcW w:type="dxa" w:w="346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interacciones, recomendaciones, puente de áreas</w:t>
            </w:r>
          </w:p>
        </w:tc>
      </w:tr>
      <w:tr>
        <w:tc>
          <w:tcPr>
            <w:tcW w:type="dxa" w:w="269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dim_contenido · dim_producto · dim_area</w:t>
            </w:r>
          </w:p>
        </w:tc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catálogo</w:t>
            </w:r>
          </w:p>
        </w:tc>
        <w:tc>
          <w:tcPr>
            <w:tcW w:type="dxa" w:w="346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interacciones, recomendaciones, prevalencias</w:t>
            </w:r>
          </w:p>
        </w:tc>
      </w:tr>
      <w:tr>
        <w:tc>
          <w:tcPr>
            <w:tcW w:type="dxa" w:w="269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dim_fecha</w:t>
            </w:r>
          </w:p>
        </w:tc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día</w:t>
            </w:r>
          </w:p>
        </w:tc>
        <w:tc>
          <w:tcPr>
            <w:tcW w:type="dxa" w:w="346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interacciones, recomendaciones, escucha</w:t>
            </w:r>
          </w:p>
        </w:tc>
      </w:tr>
      <w:tr>
        <w:tc>
          <w:tcPr>
            <w:tcW w:type="dxa" w:w="269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fact_interacciones</w:t>
            </w:r>
          </w:p>
        </w:tc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evento</w:t>
            </w:r>
          </w:p>
        </w:tc>
        <w:tc>
          <w:tcPr>
            <w:tcW w:type="dxa" w:w="346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9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fact_poblacion · fact_prevalencia</w:t>
            </w:r>
          </w:p>
        </w:tc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zona · sexo · edad · NSE</w:t>
            </w:r>
          </w:p>
        </w:tc>
        <w:tc>
          <w:tcPr>
            <w:tcW w:type="dxa" w:w="346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9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fact_escucha · fact_cobertura</w:t>
            </w:r>
          </w:p>
        </w:tc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país · semana · tema / zona · segmento</w:t>
            </w:r>
          </w:p>
        </w:tc>
        <w:tc>
          <w:tcPr>
            <w:tcW w:type="dxa" w:w="346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Las claves sustitutas salen de un hash del nombre normalizado: son </w:t>
      </w:r>
      <w:r>
        <w:rPr>
          <w:b/>
          <w:bCs/>
        </w:rPr>
        <w:t xml:space="preserve">estables entre cargas</w:t>
      </w:r>
      <w:r>
        <w:t xml:space="preserve"> (sirven para un MERGE incremental o para migrar de entorno) y cada dimensión trae su columna </w:t>
      </w:r>
      <w:r>
        <w:rPr>
          <w:rFonts w:ascii="Consolas" w:cs="Consolas" w:eastAsia="Consolas" w:hAnsi="Consolas"/>
        </w:rPr>
        <w:t xml:space="preserve">*_clave</w:t>
      </w:r>
      <w:r>
        <w:t xml:space="preserve"> sin tildes para relacionarse con las mismas dimensiones de </w:t>
      </w:r>
      <w:r>
        <w:rPr>
          <w:b/>
          <w:bCs/>
        </w:rPr>
        <w:t xml:space="preserve">Analysis Services</w:t>
      </w:r>
      <w:r>
        <w:t xml:space="preserve"> o del </w:t>
      </w:r>
      <w:r>
        <w:rPr>
          <w:b/>
          <w:bCs/>
        </w:rPr>
        <w:t xml:space="preserve">data warehouse</w:t>
      </w:r>
      <w:r>
        <w:t xml:space="preserve"> (país, producto, área). Así, las ventas que ya están en el modelo corporativo se cruzan con la base y el mercado sin rehacer nada.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EE9" w:sz="4"/>
              <w:left w:val="single" w:color="081527" w:sz="24"/>
              <w:bottom w:val="single" w:color="D5DEE9" w:sz="4"/>
              <w:right w:val="single" w:color="D5DEE9" w:sz="4"/>
            </w:tcBorders>
            <w:shd w:fill="EEF3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81527"/>
              </w:rPr>
              <w:t xml:space="preserve">Lo que no entra al modelo</w:t>
            </w:r>
          </w:p>
          <w:p>
            <w:r>
              <w:rPr>
                <w:sz w:val="20"/>
                <w:szCs w:val="20"/>
              </w:rPr>
              <w:t xml:space="preserve">Mail, teléfono, nombre, documento, autores y textos de redes. Los datos que identifican viven en el CRM, con acceso restringido; el Lakehouse sólo ve el id seudónimo.</w:t>
            </w:r>
          </w:p>
        </w:tc>
      </w:tr>
    </w:tbl>
    <w:p>
      <w:pPr>
        <w:spacing w:after="120"/>
      </w:pPr>
    </w:p>
    <w:p>
      <w:pPr>
        <w:pStyle w:val="Heading1"/>
        <w:spacing w:after="80" w:before="520"/>
      </w:pPr>
      <w:r>
        <w:rPr>
          <w:color w:val="B07A12"/>
        </w:rPr>
        <w:t xml:space="preserve">11  </w:t>
      </w:r>
      <w:r>
        <w:t xml:space="preserve">Riesgos y controles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LEGAL Y COMPLIANCE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616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 en el programa</w:t>
            </w:r>
          </w:p>
        </w:tc>
      </w:tr>
      <w:tr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Promocionar un producto bajo receta al público</w:t>
            </w:r>
          </w:p>
        </w:tc>
        <w:tc>
          <w:tcPr>
            <w:tcW w:type="dxa" w:w="616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Regla «receta al público» antes del puntaje, para cualquier tipo de contenido que nombre un producto bajo receta; condición de venta vacía o desconocida = receta.</w:t>
            </w:r>
          </w:p>
        </w:tc>
      </w:tr>
      <w:tr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Usar un dato de salud sin permiso</w:t>
            </w:r>
          </w:p>
        </w:tc>
        <w:tc>
          <w:tcPr>
            <w:tcW w:type="dxa" w:w="616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 descarta al cargar y se avisa; el área exige consentimiento de salud.</w:t>
            </w:r>
          </w:p>
        </w:tc>
      </w:tr>
      <w:tr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Inferir una enfermedad</w:t>
            </w:r>
          </w:p>
        </w:tc>
        <w:tc>
          <w:tcPr>
            <w:tcW w:type="dxa" w:w="616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Sólo lo declarado; el nivel socioeconómico es el de la zona, no el de la persona.</w:t>
            </w:r>
          </w:p>
        </w:tc>
      </w:tr>
      <w:tr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Reidentificar a alguien en una tabla agregada</w:t>
            </w:r>
          </w:p>
        </w:tc>
        <w:tc>
          <w:tcPr>
            <w:tcW w:type="dxa" w:w="616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Supresión de conteos chicos (de 1 a 9 en la base o en los captados del área; menos de 5 menciones en la escucha), también en la brecha, con supresión complementaria dentro de cada zona.</w:t>
            </w:r>
          </w:p>
        </w:tc>
      </w:tr>
      <w:tr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Cansar o molestar</w:t>
            </w:r>
          </w:p>
        </w:tc>
        <w:tc>
          <w:tcPr>
            <w:tcW w:type="dxa" w:w="616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Tope de envíos por país (los de hoy cuentan), ventana de 30 días, exclusión tras una queja, baja en un clic; una baja que no se entiende se respeta como baja.</w:t>
            </w:r>
          </w:p>
        </w:tc>
      </w:tr>
      <w:tr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 evento adverso en redes</w:t>
            </w:r>
          </w:p>
        </w:tc>
        <w:tc>
          <w:tcPr>
            <w:tcW w:type="dxa" w:w="616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Conteo por producto y aviso a farmacovigilancia, que revisa caso por caso en la herramienta de escucha.</w:t>
            </w:r>
          </w:p>
        </w:tc>
      </w:tr>
      <w:tr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Derechos de la persona</w:t>
            </w:r>
          </w:p>
        </w:tc>
        <w:tc>
          <w:tcPr>
            <w:tcW w:type="dxa" w:w="616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acceso</w:t>
            </w:r>
            <w:r>
              <w:rPr>
                <w:sz w:val="19"/>
                <w:szCs w:val="19"/>
              </w:rPr>
              <w:t xml:space="preserve"> (todo lo que la base tiene de alguien)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suprimir</w:t>
            </w:r>
            <w:r>
              <w:rPr>
                <w:sz w:val="19"/>
                <w:szCs w:val="19"/>
              </w:rPr>
              <w:t xml:space="preserve"> (borra y deja una huella para que no se vuelva a importar).</w:t>
            </w:r>
          </w:p>
        </w:tc>
      </w:tr>
      <w:tr>
        <w:tc>
          <w:tcPr>
            <w:tcW w:type="dxa" w:w="347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Envíos pasados que hoy no cumplen</w:t>
            </w:r>
          </w:p>
        </w:tc>
        <w:tc>
          <w:tcPr>
            <w:tcW w:type="dxa" w:w="616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Auditoría con el motivo, para revisar con compliance.</w:t>
            </w:r>
          </w:p>
        </w:tc>
      </w:tr>
    </w:tbl>
    <w:p>
      <w:pPr>
        <w:spacing w:after="120"/>
      </w:pPr>
    </w:p>
    <w:p>
      <w:pPr>
        <w:pStyle w:val="Heading1"/>
        <w:spacing w:after="80" w:before="520"/>
      </w:pPr>
      <w:r>
        <w:rPr>
          <w:color w:val="B07A12"/>
        </w:rPr>
        <w:t xml:space="preserve">12  </w:t>
      </w:r>
      <w:r>
        <w:t xml:space="preserve">Próximos pasos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TODOS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Validar las reglas con legal</w:t>
      </w:r>
      <w:r>
        <w:t xml:space="preserve">. </w:t>
      </w:r>
      <w:r>
        <w:t xml:space="preserve">País por país, empezando por uno; cargar los ajustes validados y marcar «validado por legal».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Diseñar la captación</w:t>
      </w:r>
      <w:r>
        <w:t xml:space="preserve">. </w:t>
      </w:r>
      <w:r>
        <w:t xml:space="preserve">Formularios con las cuatro casillas, aviso de privacidad y doble confirmación; una landing de concientización por área.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Armar el catálogo</w:t>
      </w:r>
      <w:r>
        <w:t xml:space="preserve">. </w:t>
      </w:r>
      <w:r>
        <w:t xml:space="preserve">Contenidos tipificados (concientización, programa, beneficio, marca, educación médica) con su condición de venta y audiencia.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Cargar las fuentes públicas</w:t>
      </w:r>
      <w:r>
        <w:t xml:space="preserve">. </w:t>
      </w:r>
      <w:r>
        <w:t xml:space="preserve">Censo y encuesta de salud de un país piloto; contratar la herramienta de escucha con su circuito de farmacovigilancia.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Conectar Fabric</w:t>
      </w:r>
      <w:r>
        <w:t xml:space="preserve">. </w:t>
      </w:r>
      <w:r>
        <w:t xml:space="preserve">Subir el modelo estrella al Lakehouse y relacionarlo con el modelo corporativo de Analysis Services.</w:t>
      </w:r>
    </w:p>
    <w:p>
      <w:pPr>
        <w:pStyle w:val="Heading1"/>
        <w:spacing w:after="80" w:before="520"/>
      </w:pPr>
      <w:r>
        <w:rPr>
          <w:color w:val="B07A12"/>
        </w:rPr>
        <w:t xml:space="preserve">13  </w:t>
      </w:r>
      <w:r>
        <w:t xml:space="preserve">Preguntas que van a aparecer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GERENTES</w:t>
      </w:r>
    </w:p>
    <w:p>
      <w:pPr>
        <w:keepNext/>
        <w:spacing w:after="40" w:before="120"/>
      </w:pPr>
      <w:r>
        <w:rPr>
          <w:b/>
          <w:bCs/>
          <w:color w:val="081527"/>
        </w:rPr>
        <w:t xml:space="preserve">¿No es más lento que comprar una base?</w:t>
      </w:r>
    </w:p>
    <w:p>
      <w:pPr>
        <w:spacing w:after="120"/>
      </w:pPr>
      <w:r>
        <w:t xml:space="preserve">Al principio sí. Pero una base comprada con datos de salud no se puede usar legalmente, y una propia se puede usar todos los días, con mejor respuesta porque la gente eligió estar.</w:t>
      </w:r>
    </w:p>
    <w:p>
      <w:pPr>
        <w:keepNext/>
        <w:spacing w:after="40" w:before="120"/>
      </w:pPr>
      <w:r>
        <w:rPr>
          <w:b/>
          <w:bCs/>
          <w:color w:val="081527"/>
        </w:rPr>
        <w:t xml:space="preserve">¿Podemos usar el nivel económico para ofrecer productos caros?</w:t>
      </w:r>
    </w:p>
    <w:p>
      <w:pPr>
        <w:spacing w:after="120"/>
      </w:pPr>
      <w:r>
        <w:t xml:space="preserve">El del barrio, sí, para planificar campañas y contenidos de venta libre. No se infiere el de la persona ni se usa para negarle información.</w:t>
      </w:r>
    </w:p>
    <w:p>
      <w:pPr>
        <w:keepNext/>
        <w:spacing w:after="40" w:before="120"/>
      </w:pPr>
      <w:r>
        <w:rPr>
          <w:b/>
          <w:bCs/>
          <w:color w:val="081527"/>
        </w:rPr>
        <w:t xml:space="preserve">¿Y si alguien escribe en redes que toma nuestro producto?</w:t>
      </w:r>
    </w:p>
    <w:p>
      <w:pPr>
        <w:spacing w:after="120"/>
      </w:pPr>
      <w:r>
        <w:t xml:space="preserve">Cuenta como mención agregada. Si describe un posible efecto adverso, farmacovigilancia lo revisa en la herramienta de escucha. No se lo contacta para venderle.</w:t>
      </w:r>
    </w:p>
    <w:p>
      <w:pPr>
        <w:keepNext/>
        <w:spacing w:after="40" w:before="120"/>
      </w:pPr>
      <w:r>
        <w:rPr>
          <w:b/>
          <w:bCs/>
          <w:color w:val="081527"/>
        </w:rPr>
        <w:t xml:space="preserve">¿Qué pasa si legal dice que un país permite más?</w:t>
      </w:r>
    </w:p>
    <w:p>
      <w:pPr>
        <w:spacing w:after="120"/>
      </w:pPr>
      <w:r>
        <w:t xml:space="preserve">Se carga el ajuste para ese país (por ejemplo, otro tope de envíos) y queda marcado como validado. El código no cambia. Abrir la promoción de receta al público exige, además, el visto de legal en el mismo ajuste.</w:t>
      </w:r>
    </w:p>
    <w:p>
      <w:pPr>
        <w:keepNext/>
        <w:spacing w:after="40" w:before="120"/>
      </w:pPr>
      <w:r>
        <w:rPr>
          <w:b/>
          <w:bCs/>
          <w:color w:val="081527"/>
        </w:rPr>
        <w:t xml:space="preserve">¿Sirve para médicos?</w:t>
      </w:r>
    </w:p>
    <w:p>
      <w:pPr>
        <w:spacing w:after="120"/>
      </w:pPr>
      <w:r>
        <w:t xml:space="preserve">Sí: a profesionales registrados se les puede promocionar productos bajo receta y enviar educación médica; el recomendador los trata como otra audiencia.</w:t>
      </w:r>
    </w:p>
    <w:p>
      <w:pPr>
        <w:pBdr>
          <w:left w:val="single" w:color="F2B441" w:sz="24" w:space="12"/>
        </w:pBdr>
        <w:spacing w:before="360"/>
        <w:ind w:left="240"/>
      </w:pPr>
      <w:r>
        <w:rPr>
          <w:b/>
          <w:bCs/>
          <w:color w:val="081527"/>
          <w:sz w:val="26"/>
          <w:szCs w:val="26"/>
        </w:rPr>
        <w:t xml:space="preserve">El programa recomienda como un marketplace, pero con una base que la gente eligió y reglas que van antes que el algoritmo. Así se puede medir todo y crecer sin que nadie pueda decir que lo rastreamos.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86A80"/>
        <w:sz w:val="16"/>
        <w:szCs w:val="16"/>
      </w:rPr>
      <w:t xml:space="preserve">MV AutoML Studio · página </w:t>
    </w:r>
    <w:r>
      <w:rPr>
        <w:color w:val="586A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  <w:rPr>
        <w:color w:val="B07A12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B07A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238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b/>
      <w:bCs/>
      <w:color w:val="081527"/>
      <w:sz w:val="40"/>
      <w:szCs w:val="40"/>
    </w:rPr>
  </w:style>
  <w:style w:type="paragraph" w:styleId="Heading3">
    <w:name w:val="Heading 3"/>
    <w:basedOn w:val="Normal"/>
    <w:next w:val="Normal"/>
    <w:qFormat/>
    <w:pPr>
      <w:keepNext/>
      <w:spacing w:after="100" w:before="280"/>
      <w:outlineLvl w:val="2"/>
    </w:pPr>
    <w:rPr>
      <w:b/>
      <w:bCs/>
      <w:color w:val="08152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80ce840a204cf1297d43ffb0316a19330003198.png"/><Relationship Id="rId9" Type="http://schemas.openxmlformats.org/officeDocument/2006/relationships/image" Target="media/df39295908b87088463476f932cb03e2380249e6.png"/><Relationship Id="rId10" Type="http://schemas.openxmlformats.org/officeDocument/2006/relationships/image" Target="media/02eacd4bb4f30020ca284a918327c43a2e1a1637.png"/><Relationship Id="rId11" Type="http://schemas.openxmlformats.org/officeDocument/2006/relationships/image" Target="media/ada849b09d6581c5f8354899a3825217e66b8f53.png"/><Relationship Id="rId12" Type="http://schemas.openxmlformats.org/officeDocument/2006/relationships/image" Target="media/ef6c1bcb69f0b860048e37c33010df98762f14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Relacionamiento con consentimiento</dc:title>
  <dc:creator>Martín Viera</dc:creator>
  <dc:description>Una base propia de pacientes, cuidadores y médicos, un recomendador al estilo de un marketplace y una estrategia de comunicación por canal, todo dentro de lo que la ley y cada persona permiten. De dónde salen los datos, qué se puede decir a quién y cómo se mide.</dc:description>
  <cp:lastModifiedBy>Un-named</cp:lastModifiedBy>
  <cp:revision>1</cp:revision>
  <dcterms:created xsi:type="dcterms:W3CDTF">2026-10-09T15:51:19.414Z</dcterms:created>
  <dcterms:modified xsi:type="dcterms:W3CDTF">2026-10-09T15:51:19.414Z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