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BC9D93" w14:textId="77777777" w:rsidR="00CA563D" w:rsidRDefault="00CA563D" w:rsidP="00CA563D">
      <w:pPr>
        <w:widowControl w:val="0"/>
        <w:autoSpaceDE w:val="0"/>
        <w:autoSpaceDN w:val="0"/>
        <w:adjustRightInd w:val="0"/>
        <w:spacing w:line="240" w:lineRule="auto"/>
        <w:jc w:val="both"/>
        <w:rPr>
          <w:rFonts w:ascii="Times New Roman" w:hAnsi="Times New Roman"/>
          <w:b/>
          <w:color w:val="000000" w:themeColor="text1"/>
          <w:sz w:val="16"/>
          <w:szCs w:val="16"/>
        </w:rPr>
      </w:pPr>
    </w:p>
    <w:p w14:paraId="0CC04172" w14:textId="20BFDA88" w:rsidR="00E33719" w:rsidRPr="00CA563D" w:rsidRDefault="00E33719" w:rsidP="00CA563D">
      <w:pPr>
        <w:widowControl w:val="0"/>
        <w:autoSpaceDE w:val="0"/>
        <w:autoSpaceDN w:val="0"/>
        <w:adjustRightInd w:val="0"/>
        <w:spacing w:line="240" w:lineRule="auto"/>
        <w:jc w:val="both"/>
        <w:rPr>
          <w:rFonts w:ascii="Times New Roman" w:hAnsi="Times New Roman"/>
          <w:color w:val="000000" w:themeColor="text1"/>
          <w:sz w:val="16"/>
          <w:szCs w:val="16"/>
        </w:rPr>
      </w:pPr>
      <w:r w:rsidRPr="00CA563D">
        <w:rPr>
          <w:rFonts w:ascii="Times New Roman" w:hAnsi="Times New Roman"/>
          <w:b/>
          <w:color w:val="000000" w:themeColor="text1"/>
          <w:sz w:val="16"/>
          <w:szCs w:val="16"/>
        </w:rPr>
        <w:t>S1</w:t>
      </w:r>
      <w:r w:rsidR="00CA563D">
        <w:rPr>
          <w:rFonts w:ascii="Times New Roman" w:hAnsi="Times New Roman"/>
          <w:b/>
          <w:color w:val="000000" w:themeColor="text1"/>
          <w:sz w:val="16"/>
          <w:szCs w:val="16"/>
        </w:rPr>
        <w:t xml:space="preserve"> Figure</w:t>
      </w:r>
      <w:r w:rsidRPr="00CA563D">
        <w:rPr>
          <w:rFonts w:ascii="Times New Roman" w:hAnsi="Times New Roman"/>
          <w:b/>
          <w:color w:val="000000" w:themeColor="text1"/>
          <w:sz w:val="16"/>
          <w:szCs w:val="16"/>
        </w:rPr>
        <w:t>. Read counts for the ribosomal genes across the 17 replicates.</w:t>
      </w:r>
      <w:r w:rsidRPr="00CA563D">
        <w:rPr>
          <w:rFonts w:ascii="Times New Roman" w:hAnsi="Times New Roman"/>
          <w:color w:val="000000" w:themeColor="text1"/>
          <w:sz w:val="16"/>
          <w:szCs w:val="16"/>
        </w:rPr>
        <w:t xml:space="preserve"> Data shown for both the non-normalized and the resampled data sets. </w:t>
      </w:r>
      <w:r w:rsidR="00CA563D">
        <w:rPr>
          <w:rFonts w:ascii="Times New Roman" w:hAnsi="Times New Roman"/>
          <w:color w:val="000000" w:themeColor="text1"/>
          <w:sz w:val="16"/>
          <w:szCs w:val="16"/>
        </w:rPr>
        <w:t>Ribosomal genes are strongly expressed in</w:t>
      </w:r>
      <w:r w:rsidRPr="00CA563D">
        <w:rPr>
          <w:rFonts w:ascii="Times New Roman" w:hAnsi="Times New Roman"/>
          <w:color w:val="000000" w:themeColor="text1"/>
          <w:sz w:val="16"/>
          <w:szCs w:val="16"/>
        </w:rPr>
        <w:t xml:space="preserve"> replicate 11, despite </w:t>
      </w:r>
      <w:r w:rsidR="00CA563D">
        <w:rPr>
          <w:rFonts w:ascii="Times New Roman" w:hAnsi="Times New Roman"/>
          <w:color w:val="000000" w:themeColor="text1"/>
          <w:sz w:val="16"/>
          <w:szCs w:val="16"/>
        </w:rPr>
        <w:t>having a similar</w:t>
      </w:r>
      <w:r w:rsidRPr="00CA563D">
        <w:rPr>
          <w:rFonts w:ascii="Times New Roman" w:hAnsi="Times New Roman"/>
          <w:color w:val="000000" w:themeColor="text1"/>
          <w:sz w:val="16"/>
          <w:szCs w:val="16"/>
        </w:rPr>
        <w:t xml:space="preserve"> sequencing depth</w:t>
      </w:r>
      <w:r w:rsidR="00CA563D">
        <w:rPr>
          <w:rFonts w:ascii="Times New Roman" w:hAnsi="Times New Roman"/>
          <w:color w:val="000000" w:themeColor="text1"/>
          <w:sz w:val="16"/>
          <w:szCs w:val="16"/>
        </w:rPr>
        <w:t xml:space="preserve"> to the other replicates, suggesting that the ribosomal depletion step did not work well for this replicate</w:t>
      </w:r>
      <w:r w:rsidRPr="00CA563D">
        <w:rPr>
          <w:rFonts w:ascii="Times New Roman" w:hAnsi="Times New Roman"/>
          <w:color w:val="000000" w:themeColor="text1"/>
          <w:sz w:val="16"/>
          <w:szCs w:val="16"/>
        </w:rPr>
        <w:t xml:space="preserve"> (see also S2 Table).</w:t>
      </w:r>
      <w:r w:rsidR="009869D6">
        <w:rPr>
          <w:rFonts w:ascii="Times New Roman" w:hAnsi="Times New Roman"/>
          <w:color w:val="000000" w:themeColor="text1"/>
          <w:sz w:val="16"/>
          <w:szCs w:val="16"/>
        </w:rPr>
        <w:t xml:space="preserve"> </w:t>
      </w:r>
      <w:proofErr w:type="spellStart"/>
      <w:r w:rsidR="005335B5">
        <w:rPr>
          <w:rFonts w:ascii="Times New Roman" w:hAnsi="Times New Roman"/>
          <w:color w:val="000000" w:themeColor="text1"/>
          <w:sz w:val="16"/>
          <w:szCs w:val="16"/>
        </w:rPr>
        <w:t>Araport</w:t>
      </w:r>
      <w:proofErr w:type="spellEnd"/>
      <w:r w:rsidR="005335B5">
        <w:rPr>
          <w:rFonts w:ascii="Times New Roman" w:hAnsi="Times New Roman"/>
          <w:color w:val="000000" w:themeColor="text1"/>
          <w:sz w:val="16"/>
          <w:szCs w:val="16"/>
        </w:rPr>
        <w:t xml:space="preserve"> </w:t>
      </w:r>
      <w:r w:rsidR="007B182A">
        <w:rPr>
          <w:rFonts w:ascii="Times New Roman" w:hAnsi="Times New Roman"/>
          <w:color w:val="000000" w:themeColor="text1"/>
          <w:sz w:val="16"/>
          <w:szCs w:val="16"/>
        </w:rPr>
        <w:t>rRNA gene</w:t>
      </w:r>
      <w:r w:rsidR="005335B5">
        <w:rPr>
          <w:rFonts w:ascii="Times New Roman" w:hAnsi="Times New Roman"/>
          <w:color w:val="000000" w:themeColor="text1"/>
          <w:sz w:val="16"/>
          <w:szCs w:val="16"/>
        </w:rPr>
        <w:t xml:space="preserve"> classification</w:t>
      </w:r>
      <w:r w:rsidR="007B182A">
        <w:rPr>
          <w:rFonts w:ascii="Times New Roman" w:hAnsi="Times New Roman"/>
          <w:color w:val="000000" w:themeColor="text1"/>
          <w:sz w:val="16"/>
          <w:szCs w:val="16"/>
        </w:rPr>
        <w:t xml:space="preserve">: </w:t>
      </w:r>
      <w:r w:rsidR="00E65498">
        <w:rPr>
          <w:rFonts w:ascii="Times New Roman" w:hAnsi="Times New Roman"/>
          <w:color w:val="000000" w:themeColor="text1"/>
          <w:sz w:val="16"/>
          <w:szCs w:val="16"/>
        </w:rPr>
        <w:t>4.5S</w:t>
      </w:r>
      <w:r w:rsidR="007B182A">
        <w:rPr>
          <w:rFonts w:ascii="Times New Roman" w:hAnsi="Times New Roman"/>
          <w:color w:val="000000" w:themeColor="text1"/>
          <w:sz w:val="16"/>
          <w:szCs w:val="16"/>
        </w:rPr>
        <w:t xml:space="preserve"> - </w:t>
      </w:r>
      <w:r w:rsidR="00E65498" w:rsidRPr="00E65498">
        <w:rPr>
          <w:rFonts w:ascii="Times New Roman" w:hAnsi="Times New Roman"/>
          <w:color w:val="000000" w:themeColor="text1"/>
          <w:sz w:val="16"/>
          <w:szCs w:val="16"/>
        </w:rPr>
        <w:t>ATCG00960</w:t>
      </w:r>
      <w:r w:rsidR="009D0DF5">
        <w:rPr>
          <w:rFonts w:ascii="Times New Roman" w:hAnsi="Times New Roman"/>
          <w:color w:val="000000" w:themeColor="text1"/>
          <w:sz w:val="16"/>
          <w:szCs w:val="16"/>
        </w:rPr>
        <w:t xml:space="preserve">, </w:t>
      </w:r>
      <w:r w:rsidR="009D0DF5" w:rsidRPr="009D0DF5">
        <w:rPr>
          <w:rFonts w:ascii="Times New Roman" w:hAnsi="Times New Roman"/>
          <w:color w:val="000000" w:themeColor="text1"/>
          <w:sz w:val="16"/>
          <w:szCs w:val="16"/>
        </w:rPr>
        <w:t>ATCG01170</w:t>
      </w:r>
      <w:r w:rsidR="00E65498">
        <w:rPr>
          <w:rFonts w:ascii="Times New Roman" w:hAnsi="Times New Roman"/>
          <w:color w:val="000000" w:themeColor="text1"/>
          <w:sz w:val="16"/>
          <w:szCs w:val="16"/>
        </w:rPr>
        <w:t>. 5S</w:t>
      </w:r>
      <w:r w:rsidR="007B182A">
        <w:rPr>
          <w:rFonts w:ascii="Times New Roman" w:hAnsi="Times New Roman"/>
          <w:color w:val="000000" w:themeColor="text1"/>
          <w:sz w:val="16"/>
          <w:szCs w:val="16"/>
        </w:rPr>
        <w:t xml:space="preserve"> - </w:t>
      </w:r>
      <w:r w:rsidR="00E65498" w:rsidRPr="00E65498">
        <w:rPr>
          <w:rFonts w:ascii="Times New Roman" w:hAnsi="Times New Roman"/>
          <w:color w:val="000000" w:themeColor="text1"/>
          <w:sz w:val="16"/>
          <w:szCs w:val="16"/>
        </w:rPr>
        <w:t>ATCG00970</w:t>
      </w:r>
      <w:r w:rsidR="009D0DF5">
        <w:rPr>
          <w:rFonts w:ascii="Times New Roman" w:hAnsi="Times New Roman"/>
          <w:color w:val="000000" w:themeColor="text1"/>
          <w:sz w:val="16"/>
          <w:szCs w:val="16"/>
        </w:rPr>
        <w:t xml:space="preserve">, </w:t>
      </w:r>
      <w:r w:rsidR="009D0DF5" w:rsidRPr="009D0DF5">
        <w:rPr>
          <w:rFonts w:ascii="Times New Roman" w:hAnsi="Times New Roman"/>
          <w:color w:val="000000" w:themeColor="text1"/>
          <w:sz w:val="16"/>
          <w:szCs w:val="16"/>
        </w:rPr>
        <w:t>ATCG01160</w:t>
      </w:r>
      <w:r w:rsidR="009D0DF5">
        <w:rPr>
          <w:rFonts w:ascii="Times New Roman" w:hAnsi="Times New Roman"/>
          <w:color w:val="000000" w:themeColor="text1"/>
          <w:sz w:val="16"/>
          <w:szCs w:val="16"/>
        </w:rPr>
        <w:t xml:space="preserve">, </w:t>
      </w:r>
      <w:r w:rsidR="009D0DF5" w:rsidRPr="009D0DF5">
        <w:rPr>
          <w:rFonts w:ascii="Times New Roman" w:hAnsi="Times New Roman"/>
          <w:color w:val="000000" w:themeColor="text1"/>
          <w:sz w:val="16"/>
          <w:szCs w:val="16"/>
        </w:rPr>
        <w:t>ATMG01380</w:t>
      </w:r>
      <w:r w:rsidR="00E65498">
        <w:rPr>
          <w:rFonts w:ascii="Times New Roman" w:hAnsi="Times New Roman"/>
          <w:color w:val="000000" w:themeColor="text1"/>
          <w:sz w:val="16"/>
          <w:szCs w:val="16"/>
        </w:rPr>
        <w:t xml:space="preserve">. </w:t>
      </w:r>
      <w:r w:rsidR="00066929">
        <w:rPr>
          <w:rFonts w:ascii="Times New Roman" w:hAnsi="Times New Roman"/>
          <w:color w:val="000000" w:themeColor="text1"/>
          <w:sz w:val="16"/>
          <w:szCs w:val="16"/>
        </w:rPr>
        <w:t>5</w:t>
      </w:r>
      <w:r w:rsidR="00E65498">
        <w:rPr>
          <w:rFonts w:ascii="Times New Roman" w:hAnsi="Times New Roman"/>
          <w:color w:val="000000" w:themeColor="text1"/>
          <w:sz w:val="16"/>
          <w:szCs w:val="16"/>
        </w:rPr>
        <w:t>.8</w:t>
      </w:r>
      <w:r w:rsidR="00066929">
        <w:rPr>
          <w:rFonts w:ascii="Times New Roman" w:hAnsi="Times New Roman"/>
          <w:color w:val="000000" w:themeColor="text1"/>
          <w:sz w:val="16"/>
          <w:szCs w:val="16"/>
        </w:rPr>
        <w:t>S</w:t>
      </w:r>
      <w:r w:rsidR="007B182A">
        <w:rPr>
          <w:rFonts w:ascii="Times New Roman" w:hAnsi="Times New Roman"/>
          <w:color w:val="000000" w:themeColor="text1"/>
          <w:sz w:val="16"/>
          <w:szCs w:val="16"/>
        </w:rPr>
        <w:t xml:space="preserve"> -</w:t>
      </w:r>
      <w:r w:rsidR="00AF4FCF">
        <w:rPr>
          <w:rFonts w:ascii="Times New Roman" w:hAnsi="Times New Roman"/>
          <w:color w:val="000000" w:themeColor="text1"/>
          <w:sz w:val="16"/>
          <w:szCs w:val="16"/>
        </w:rPr>
        <w:t xml:space="preserve"> AT2G01020</w:t>
      </w:r>
      <w:r w:rsidR="00E65498">
        <w:rPr>
          <w:rFonts w:ascii="Times New Roman" w:hAnsi="Times New Roman"/>
          <w:color w:val="000000" w:themeColor="text1"/>
          <w:sz w:val="16"/>
          <w:szCs w:val="16"/>
        </w:rPr>
        <w:t xml:space="preserve">, AT3G41979. 16S </w:t>
      </w:r>
      <w:r w:rsidR="007B182A">
        <w:rPr>
          <w:rFonts w:ascii="Times New Roman" w:hAnsi="Times New Roman"/>
          <w:color w:val="000000" w:themeColor="text1"/>
          <w:sz w:val="16"/>
          <w:szCs w:val="16"/>
        </w:rPr>
        <w:t xml:space="preserve">- </w:t>
      </w:r>
      <w:r w:rsidR="00E65498" w:rsidRPr="00E65498">
        <w:rPr>
          <w:rFonts w:ascii="Times New Roman" w:hAnsi="Times New Roman"/>
          <w:color w:val="000000" w:themeColor="text1"/>
          <w:sz w:val="16"/>
          <w:szCs w:val="16"/>
        </w:rPr>
        <w:t>ATCG00920</w:t>
      </w:r>
      <w:r w:rsidR="009D0DF5">
        <w:rPr>
          <w:rFonts w:ascii="Times New Roman" w:hAnsi="Times New Roman"/>
          <w:color w:val="000000" w:themeColor="text1"/>
          <w:sz w:val="16"/>
          <w:szCs w:val="16"/>
        </w:rPr>
        <w:t xml:space="preserve">, </w:t>
      </w:r>
      <w:r w:rsidR="009D0DF5" w:rsidRPr="009D0DF5">
        <w:rPr>
          <w:rFonts w:ascii="Times New Roman" w:hAnsi="Times New Roman"/>
          <w:color w:val="000000" w:themeColor="text1"/>
          <w:sz w:val="16"/>
          <w:szCs w:val="16"/>
        </w:rPr>
        <w:t>ATCG01210</w:t>
      </w:r>
      <w:r w:rsidR="00E65498">
        <w:rPr>
          <w:rFonts w:ascii="Times New Roman" w:hAnsi="Times New Roman"/>
          <w:color w:val="000000" w:themeColor="text1"/>
          <w:sz w:val="16"/>
          <w:szCs w:val="16"/>
        </w:rPr>
        <w:t xml:space="preserve">. </w:t>
      </w:r>
      <w:r w:rsidR="00E65498">
        <w:rPr>
          <w:rFonts w:ascii="Times New Roman" w:hAnsi="Times New Roman"/>
          <w:color w:val="000000" w:themeColor="text1"/>
          <w:sz w:val="16"/>
          <w:szCs w:val="16"/>
        </w:rPr>
        <w:t>18S</w:t>
      </w:r>
      <w:r w:rsidR="007B182A">
        <w:rPr>
          <w:rFonts w:ascii="Times New Roman" w:hAnsi="Times New Roman"/>
          <w:color w:val="000000" w:themeColor="text1"/>
          <w:sz w:val="16"/>
          <w:szCs w:val="16"/>
        </w:rPr>
        <w:t xml:space="preserve"> - </w:t>
      </w:r>
      <w:r w:rsidR="00E65498">
        <w:rPr>
          <w:rFonts w:ascii="Times New Roman" w:hAnsi="Times New Roman"/>
          <w:color w:val="000000" w:themeColor="text1"/>
          <w:sz w:val="16"/>
          <w:szCs w:val="16"/>
        </w:rPr>
        <w:t xml:space="preserve">AT2G01010, </w:t>
      </w:r>
      <w:r w:rsidR="00E65498" w:rsidRPr="00E65498">
        <w:rPr>
          <w:rFonts w:ascii="Times New Roman" w:hAnsi="Times New Roman"/>
          <w:color w:val="000000" w:themeColor="text1"/>
          <w:sz w:val="16"/>
          <w:szCs w:val="16"/>
        </w:rPr>
        <w:t>AT3G41768</w:t>
      </w:r>
      <w:r w:rsidR="009D0DF5">
        <w:rPr>
          <w:rFonts w:ascii="Times New Roman" w:hAnsi="Times New Roman"/>
          <w:color w:val="000000" w:themeColor="text1"/>
          <w:sz w:val="16"/>
          <w:szCs w:val="16"/>
        </w:rPr>
        <w:t xml:space="preserve">, </w:t>
      </w:r>
      <w:r w:rsidR="009D0DF5" w:rsidRPr="009D0DF5">
        <w:rPr>
          <w:rFonts w:ascii="Times New Roman" w:hAnsi="Times New Roman"/>
          <w:color w:val="000000" w:themeColor="text1"/>
          <w:sz w:val="16"/>
          <w:szCs w:val="16"/>
        </w:rPr>
        <w:t>ATMG01390</w:t>
      </w:r>
      <w:r w:rsidR="00E65498">
        <w:rPr>
          <w:rFonts w:ascii="Times New Roman" w:hAnsi="Times New Roman"/>
          <w:color w:val="000000" w:themeColor="text1"/>
          <w:sz w:val="16"/>
          <w:szCs w:val="16"/>
        </w:rPr>
        <w:t xml:space="preserve">. </w:t>
      </w:r>
      <w:r w:rsidR="00E65498">
        <w:rPr>
          <w:rFonts w:ascii="Times New Roman" w:hAnsi="Times New Roman"/>
          <w:color w:val="000000" w:themeColor="text1"/>
          <w:sz w:val="16"/>
          <w:szCs w:val="16"/>
        </w:rPr>
        <w:t xml:space="preserve">23S </w:t>
      </w:r>
      <w:r w:rsidR="007B182A">
        <w:rPr>
          <w:rFonts w:ascii="Times New Roman" w:hAnsi="Times New Roman"/>
          <w:color w:val="000000" w:themeColor="text1"/>
          <w:sz w:val="16"/>
          <w:szCs w:val="16"/>
        </w:rPr>
        <w:t>-</w:t>
      </w:r>
      <w:r w:rsidR="00E65498">
        <w:rPr>
          <w:rFonts w:ascii="Times New Roman" w:hAnsi="Times New Roman"/>
          <w:color w:val="000000" w:themeColor="text1"/>
          <w:sz w:val="16"/>
          <w:szCs w:val="16"/>
        </w:rPr>
        <w:t xml:space="preserve"> </w:t>
      </w:r>
      <w:r w:rsidR="00E65498" w:rsidRPr="00E65498">
        <w:rPr>
          <w:rFonts w:ascii="Times New Roman" w:hAnsi="Times New Roman"/>
          <w:color w:val="000000" w:themeColor="text1"/>
          <w:sz w:val="16"/>
          <w:szCs w:val="16"/>
        </w:rPr>
        <w:t>ATCG00950</w:t>
      </w:r>
      <w:r w:rsidR="009D0DF5">
        <w:rPr>
          <w:rFonts w:ascii="Times New Roman" w:hAnsi="Times New Roman"/>
          <w:color w:val="000000" w:themeColor="text1"/>
          <w:sz w:val="16"/>
          <w:szCs w:val="16"/>
        </w:rPr>
        <w:t xml:space="preserve">, </w:t>
      </w:r>
      <w:r w:rsidR="009D0DF5" w:rsidRPr="009D0DF5">
        <w:rPr>
          <w:rFonts w:ascii="Times New Roman" w:hAnsi="Times New Roman"/>
          <w:color w:val="000000" w:themeColor="text1"/>
          <w:sz w:val="16"/>
          <w:szCs w:val="16"/>
        </w:rPr>
        <w:t>ATCG01180</w:t>
      </w:r>
      <w:r w:rsidR="00E65498">
        <w:rPr>
          <w:rFonts w:ascii="Times New Roman" w:hAnsi="Times New Roman"/>
          <w:color w:val="000000" w:themeColor="text1"/>
          <w:sz w:val="16"/>
          <w:szCs w:val="16"/>
        </w:rPr>
        <w:t xml:space="preserve">. </w:t>
      </w:r>
      <w:r w:rsidR="009D0DF5">
        <w:rPr>
          <w:rFonts w:ascii="Times New Roman" w:hAnsi="Times New Roman"/>
          <w:color w:val="000000" w:themeColor="text1"/>
          <w:sz w:val="16"/>
          <w:szCs w:val="16"/>
        </w:rPr>
        <w:t>26S</w:t>
      </w:r>
      <w:r w:rsidR="005335B5">
        <w:rPr>
          <w:rFonts w:ascii="Times New Roman" w:hAnsi="Times New Roman"/>
          <w:color w:val="000000" w:themeColor="text1"/>
          <w:sz w:val="16"/>
          <w:szCs w:val="16"/>
        </w:rPr>
        <w:t xml:space="preserve"> -</w:t>
      </w:r>
      <w:r w:rsidR="009D0DF5">
        <w:rPr>
          <w:rFonts w:ascii="Times New Roman" w:hAnsi="Times New Roman"/>
          <w:color w:val="000000" w:themeColor="text1"/>
          <w:sz w:val="16"/>
          <w:szCs w:val="16"/>
        </w:rPr>
        <w:t xml:space="preserve"> </w:t>
      </w:r>
      <w:r w:rsidR="009D0DF5" w:rsidRPr="009D0DF5">
        <w:rPr>
          <w:rFonts w:ascii="Times New Roman" w:hAnsi="Times New Roman"/>
          <w:color w:val="000000" w:themeColor="text1"/>
          <w:sz w:val="16"/>
          <w:szCs w:val="16"/>
        </w:rPr>
        <w:t>ATMG00020</w:t>
      </w:r>
      <w:r w:rsidR="005335B5">
        <w:rPr>
          <w:rFonts w:ascii="Times New Roman" w:hAnsi="Times New Roman"/>
          <w:color w:val="000000" w:themeColor="text1"/>
          <w:sz w:val="16"/>
          <w:szCs w:val="16"/>
        </w:rPr>
        <w:t>.</w:t>
      </w:r>
    </w:p>
    <w:p w14:paraId="6A4670E9" w14:textId="77777777" w:rsidR="00CA563D" w:rsidRDefault="00CA563D" w:rsidP="00CA563D">
      <w:pPr>
        <w:spacing w:line="240" w:lineRule="auto"/>
        <w:jc w:val="both"/>
        <w:rPr>
          <w:rFonts w:ascii="Times New Roman" w:hAnsi="Times New Roman"/>
          <w:b/>
          <w:color w:val="000000" w:themeColor="text1"/>
          <w:sz w:val="16"/>
          <w:szCs w:val="16"/>
        </w:rPr>
      </w:pPr>
    </w:p>
    <w:p w14:paraId="00BBB5CD" w14:textId="35B12BC5" w:rsidR="00F611DA" w:rsidRPr="00CA563D" w:rsidRDefault="00E33719" w:rsidP="00F611DA">
      <w:pPr>
        <w:spacing w:line="240" w:lineRule="auto"/>
        <w:jc w:val="both"/>
        <w:rPr>
          <w:rFonts w:ascii="Times New Roman" w:hAnsi="Times New Roman"/>
          <w:color w:val="000000" w:themeColor="text1"/>
          <w:sz w:val="16"/>
          <w:szCs w:val="16"/>
        </w:rPr>
      </w:pPr>
      <w:r w:rsidRPr="00CA563D">
        <w:rPr>
          <w:rFonts w:ascii="Times New Roman" w:hAnsi="Times New Roman"/>
          <w:b/>
          <w:color w:val="000000" w:themeColor="text1"/>
          <w:sz w:val="16"/>
          <w:szCs w:val="16"/>
        </w:rPr>
        <w:t>S2 Table. Alignment summaries for all replicates.</w:t>
      </w:r>
      <w:r w:rsidRPr="00CA563D">
        <w:rPr>
          <w:rFonts w:ascii="Times New Roman" w:hAnsi="Times New Roman"/>
          <w:color w:val="000000" w:themeColor="text1"/>
          <w:sz w:val="16"/>
          <w:szCs w:val="16"/>
        </w:rPr>
        <w:t xml:space="preserve"> </w:t>
      </w:r>
      <w:r w:rsidR="00F611DA" w:rsidRPr="00F611DA">
        <w:rPr>
          <w:rFonts w:ascii="Times New Roman" w:hAnsi="Times New Roman"/>
          <w:color w:val="000000" w:themeColor="text1"/>
          <w:sz w:val="16"/>
          <w:szCs w:val="16"/>
        </w:rPr>
        <w:t>[A] Non-</w:t>
      </w:r>
      <w:proofErr w:type="spellStart"/>
      <w:r w:rsidR="00F611DA" w:rsidRPr="00F611DA">
        <w:rPr>
          <w:rFonts w:ascii="Times New Roman" w:hAnsi="Times New Roman"/>
          <w:color w:val="000000" w:themeColor="text1"/>
          <w:sz w:val="16"/>
          <w:szCs w:val="16"/>
        </w:rPr>
        <w:t>normalised</w:t>
      </w:r>
      <w:proofErr w:type="spellEnd"/>
      <w:r w:rsidR="00F611DA" w:rsidRPr="00F611DA">
        <w:rPr>
          <w:rFonts w:ascii="Times New Roman" w:hAnsi="Times New Roman"/>
          <w:color w:val="000000" w:themeColor="text1"/>
          <w:sz w:val="16"/>
          <w:szCs w:val="16"/>
        </w:rPr>
        <w:t xml:space="preserve"> data set. [B] Re-sampled data set. [C] rRNA mapping fractions (non-normalized dataset). [D] Non-</w:t>
      </w:r>
      <w:proofErr w:type="spellStart"/>
      <w:r w:rsidR="00F611DA" w:rsidRPr="00F611DA">
        <w:rPr>
          <w:rFonts w:ascii="Times New Roman" w:hAnsi="Times New Roman"/>
          <w:color w:val="000000" w:themeColor="text1"/>
          <w:sz w:val="16"/>
          <w:szCs w:val="16"/>
        </w:rPr>
        <w:t>normalised</w:t>
      </w:r>
      <w:proofErr w:type="spellEnd"/>
      <w:r w:rsidR="00F611DA" w:rsidRPr="00F611DA">
        <w:rPr>
          <w:rFonts w:ascii="Times New Roman" w:hAnsi="Times New Roman"/>
          <w:color w:val="000000" w:themeColor="text1"/>
          <w:sz w:val="16"/>
          <w:szCs w:val="16"/>
        </w:rPr>
        <w:t xml:space="preserve"> rRNA filtered data set. [E] Re-sampled rRNA filtered data set.</w:t>
      </w:r>
    </w:p>
    <w:p w14:paraId="6ED7A1D0" w14:textId="7FAF3CC8" w:rsidR="00CA563D" w:rsidRDefault="00CA563D" w:rsidP="00CA563D">
      <w:pPr>
        <w:spacing w:line="240" w:lineRule="auto"/>
        <w:jc w:val="both"/>
        <w:rPr>
          <w:rFonts w:ascii="Times New Roman" w:hAnsi="Times New Roman"/>
          <w:b/>
          <w:color w:val="000000" w:themeColor="text1"/>
          <w:sz w:val="16"/>
          <w:szCs w:val="16"/>
        </w:rPr>
      </w:pPr>
    </w:p>
    <w:p w14:paraId="60BC7935" w14:textId="320EE3DA" w:rsidR="00CA563D" w:rsidRDefault="004F155D" w:rsidP="00CA563D">
      <w:pPr>
        <w:spacing w:line="240" w:lineRule="auto"/>
        <w:jc w:val="both"/>
        <w:rPr>
          <w:rFonts w:ascii="Times New Roman" w:hAnsi="Times New Roman"/>
          <w:color w:val="000000" w:themeColor="text1"/>
          <w:sz w:val="16"/>
          <w:szCs w:val="16"/>
        </w:rPr>
      </w:pPr>
      <w:r w:rsidRPr="00CA563D">
        <w:rPr>
          <w:rFonts w:ascii="Times New Roman" w:hAnsi="Times New Roman"/>
          <w:b/>
          <w:color w:val="000000" w:themeColor="text1"/>
          <w:sz w:val="16"/>
          <w:szCs w:val="16"/>
        </w:rPr>
        <w:t>S3</w:t>
      </w:r>
      <w:r w:rsidR="00CA563D">
        <w:rPr>
          <w:rFonts w:ascii="Times New Roman" w:hAnsi="Times New Roman"/>
          <w:b/>
          <w:color w:val="000000" w:themeColor="text1"/>
          <w:sz w:val="16"/>
          <w:szCs w:val="16"/>
        </w:rPr>
        <w:t xml:space="preserve"> Figure</w:t>
      </w:r>
      <w:r w:rsidRPr="00CA563D">
        <w:rPr>
          <w:rFonts w:ascii="Times New Roman" w:hAnsi="Times New Roman"/>
          <w:b/>
          <w:color w:val="000000" w:themeColor="text1"/>
          <w:sz w:val="16"/>
          <w:szCs w:val="16"/>
        </w:rPr>
        <w:t xml:space="preserve">. Comparison of pairwise inter-replicate Pearson’s Correlation of gene expression, including and excluding rRNA mapping reads. </w:t>
      </w:r>
      <w:r w:rsidRPr="00CA563D">
        <w:rPr>
          <w:rFonts w:ascii="Times New Roman" w:hAnsi="Times New Roman"/>
          <w:color w:val="000000" w:themeColor="text1"/>
          <w:sz w:val="16"/>
          <w:szCs w:val="16"/>
        </w:rPr>
        <w:t xml:space="preserve">(A): Correlation matrix of gene expression for all 16 replicates (replicate 11 excluded) including rRNA mapping reads. (B): </w:t>
      </w:r>
      <w:r w:rsidR="00F611DA" w:rsidRPr="00CA563D">
        <w:rPr>
          <w:rFonts w:ascii="Times New Roman" w:hAnsi="Times New Roman"/>
          <w:color w:val="000000" w:themeColor="text1"/>
          <w:sz w:val="16"/>
          <w:szCs w:val="16"/>
        </w:rPr>
        <w:t xml:space="preserve">Correlation matrix of gene expression for all 16 replicates (replicate 11 excluded) </w:t>
      </w:r>
      <w:r w:rsidR="00F611DA">
        <w:rPr>
          <w:rFonts w:ascii="Times New Roman" w:hAnsi="Times New Roman"/>
          <w:color w:val="000000" w:themeColor="text1"/>
          <w:sz w:val="16"/>
          <w:szCs w:val="16"/>
        </w:rPr>
        <w:t>ex</w:t>
      </w:r>
      <w:r w:rsidR="00F611DA" w:rsidRPr="00CA563D">
        <w:rPr>
          <w:rFonts w:ascii="Times New Roman" w:hAnsi="Times New Roman"/>
          <w:color w:val="000000" w:themeColor="text1"/>
          <w:sz w:val="16"/>
          <w:szCs w:val="16"/>
        </w:rPr>
        <w:t>cluding rRNA mapping reads.</w:t>
      </w:r>
    </w:p>
    <w:p w14:paraId="0047F4C5" w14:textId="77777777" w:rsidR="00F611DA" w:rsidRDefault="00F611DA" w:rsidP="00CA563D">
      <w:pPr>
        <w:spacing w:line="240" w:lineRule="auto"/>
        <w:jc w:val="both"/>
        <w:rPr>
          <w:rFonts w:ascii="Times New Roman" w:hAnsi="Times New Roman"/>
          <w:b/>
          <w:color w:val="000000" w:themeColor="text1"/>
          <w:sz w:val="16"/>
          <w:szCs w:val="16"/>
        </w:rPr>
      </w:pPr>
    </w:p>
    <w:p w14:paraId="2D1B3B2F" w14:textId="73CED36C" w:rsidR="00F17677" w:rsidRPr="00CA563D" w:rsidRDefault="00F17677" w:rsidP="00CA563D">
      <w:pPr>
        <w:spacing w:line="240" w:lineRule="auto"/>
        <w:jc w:val="both"/>
        <w:rPr>
          <w:rFonts w:ascii="Times New Roman" w:hAnsi="Times New Roman"/>
          <w:noProof/>
          <w:color w:val="000000" w:themeColor="text1"/>
          <w:sz w:val="16"/>
          <w:szCs w:val="16"/>
        </w:rPr>
      </w:pPr>
      <w:r w:rsidRPr="00CA563D">
        <w:rPr>
          <w:rFonts w:ascii="Times New Roman" w:hAnsi="Times New Roman"/>
          <w:b/>
          <w:color w:val="000000" w:themeColor="text1"/>
          <w:sz w:val="16"/>
          <w:szCs w:val="16"/>
        </w:rPr>
        <w:t>S4</w:t>
      </w:r>
      <w:r w:rsidR="00CA563D">
        <w:rPr>
          <w:rFonts w:ascii="Times New Roman" w:hAnsi="Times New Roman"/>
          <w:b/>
          <w:color w:val="000000" w:themeColor="text1"/>
          <w:sz w:val="16"/>
          <w:szCs w:val="16"/>
        </w:rPr>
        <w:t xml:space="preserve"> Figure</w:t>
      </w:r>
      <w:r w:rsidRPr="00CA563D">
        <w:rPr>
          <w:rFonts w:ascii="Times New Roman" w:hAnsi="Times New Roman"/>
          <w:b/>
          <w:color w:val="000000" w:themeColor="text1"/>
          <w:sz w:val="16"/>
          <w:szCs w:val="16"/>
        </w:rPr>
        <w:t>. Comparison of inter-replicate variation goodness-of-fit results</w:t>
      </w:r>
      <w:r w:rsidR="004F155D" w:rsidRPr="00CA563D">
        <w:rPr>
          <w:rFonts w:ascii="Times New Roman" w:hAnsi="Times New Roman"/>
          <w:b/>
          <w:color w:val="000000" w:themeColor="text1"/>
          <w:sz w:val="16"/>
          <w:szCs w:val="16"/>
        </w:rPr>
        <w:t>,</w:t>
      </w:r>
      <w:r w:rsidRPr="00CA563D">
        <w:rPr>
          <w:rFonts w:ascii="Times New Roman" w:hAnsi="Times New Roman"/>
          <w:b/>
          <w:color w:val="000000" w:themeColor="text1"/>
          <w:sz w:val="16"/>
          <w:szCs w:val="16"/>
        </w:rPr>
        <w:t xml:space="preserve"> including and excluding rRNA mapping reads.</w:t>
      </w:r>
      <w:r w:rsidRPr="00CA563D">
        <w:rPr>
          <w:rFonts w:ascii="Times New Roman" w:hAnsi="Times New Roman"/>
          <w:noProof/>
          <w:color w:val="000000" w:themeColor="text1"/>
          <w:sz w:val="16"/>
          <w:szCs w:val="16"/>
        </w:rPr>
        <w:t xml:space="preserve"> Histograms of the probability that the genes’ fragment counts across replicates are compatible with each of the four specified distributions. The fraction of genes rejecting the distribution model is given above each plot. The Benjamini-Hochberg adjusted critical p-value is shown in red. The leftmost </w:t>
      </w:r>
      <w:r w:rsidR="004F155D" w:rsidRPr="00CA563D">
        <w:rPr>
          <w:rFonts w:ascii="Times New Roman" w:hAnsi="Times New Roman"/>
          <w:noProof/>
          <w:color w:val="000000" w:themeColor="text1"/>
          <w:sz w:val="16"/>
          <w:szCs w:val="16"/>
        </w:rPr>
        <w:t xml:space="preserve">panels are the full datasets. The rightmost panels are the same datasets but with the reads from each replicate that map to the </w:t>
      </w:r>
      <w:r w:rsidR="004F155D" w:rsidRPr="00CA563D">
        <w:rPr>
          <w:rFonts w:ascii="Times New Roman" w:hAnsi="Times New Roman"/>
          <w:color w:val="212121"/>
          <w:sz w:val="16"/>
          <w:szCs w:val="16"/>
          <w:shd w:val="clear" w:color="auto" w:fill="FFFFFF"/>
        </w:rPr>
        <w:t xml:space="preserve">1360 rRNA regions in the </w:t>
      </w:r>
      <w:r w:rsidR="00605209">
        <w:rPr>
          <w:rFonts w:ascii="Times New Roman" w:hAnsi="Times New Roman"/>
          <w:color w:val="212121"/>
          <w:sz w:val="16"/>
          <w:szCs w:val="16"/>
          <w:shd w:val="clear" w:color="auto" w:fill="FFFFFF"/>
        </w:rPr>
        <w:t>E</w:t>
      </w:r>
      <w:bookmarkStart w:id="0" w:name="_GoBack"/>
      <w:bookmarkEnd w:id="0"/>
      <w:r w:rsidR="004F155D" w:rsidRPr="00CA563D">
        <w:rPr>
          <w:rFonts w:ascii="Times New Roman" w:hAnsi="Times New Roman"/>
          <w:color w:val="212121"/>
          <w:sz w:val="16"/>
          <w:szCs w:val="16"/>
          <w:shd w:val="clear" w:color="auto" w:fill="FFFFFF"/>
        </w:rPr>
        <w:t xml:space="preserve">nsembl v40 Arabidopsis thaliana annotation removed prior to down-sampling normalization and analysis. </w:t>
      </w:r>
    </w:p>
    <w:p w14:paraId="7FA83DE9" w14:textId="77777777" w:rsidR="00FA1430" w:rsidRPr="00CA563D" w:rsidRDefault="00FA1430">
      <w:pPr>
        <w:rPr>
          <w:rFonts w:ascii="Times New Roman" w:hAnsi="Times New Roman"/>
          <w:sz w:val="22"/>
          <w:szCs w:val="22"/>
        </w:rPr>
      </w:pPr>
    </w:p>
    <w:sectPr w:rsidR="00FA1430" w:rsidRPr="00CA563D" w:rsidSect="00DF360D">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77"/>
    <w:rsid w:val="00057E09"/>
    <w:rsid w:val="00066929"/>
    <w:rsid w:val="002025C9"/>
    <w:rsid w:val="00204D19"/>
    <w:rsid w:val="0031368B"/>
    <w:rsid w:val="00427E19"/>
    <w:rsid w:val="004F155D"/>
    <w:rsid w:val="00511B6A"/>
    <w:rsid w:val="005335B5"/>
    <w:rsid w:val="00545EC9"/>
    <w:rsid w:val="005B5E37"/>
    <w:rsid w:val="00605209"/>
    <w:rsid w:val="006C06A2"/>
    <w:rsid w:val="007B182A"/>
    <w:rsid w:val="008368FA"/>
    <w:rsid w:val="00902AEF"/>
    <w:rsid w:val="009676D5"/>
    <w:rsid w:val="009869D6"/>
    <w:rsid w:val="009D0DF5"/>
    <w:rsid w:val="00A305E5"/>
    <w:rsid w:val="00A673C7"/>
    <w:rsid w:val="00AF4FCF"/>
    <w:rsid w:val="00BB6384"/>
    <w:rsid w:val="00C15CCC"/>
    <w:rsid w:val="00C46E80"/>
    <w:rsid w:val="00CA563D"/>
    <w:rsid w:val="00D67131"/>
    <w:rsid w:val="00D929AE"/>
    <w:rsid w:val="00DF360D"/>
    <w:rsid w:val="00E23FEA"/>
    <w:rsid w:val="00E33719"/>
    <w:rsid w:val="00E561E5"/>
    <w:rsid w:val="00E638A5"/>
    <w:rsid w:val="00E65498"/>
    <w:rsid w:val="00F17677"/>
    <w:rsid w:val="00F17EA5"/>
    <w:rsid w:val="00F611DA"/>
    <w:rsid w:val="00FA1430"/>
    <w:rsid w:val="00FD7C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E22D07"/>
  <w14:defaultImageDpi w14:val="32767"/>
  <w15:chartTrackingRefBased/>
  <w15:docId w15:val="{F3095FF6-E84E-2448-AE74-728014CD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17677"/>
    <w:pPr>
      <w:spacing w:line="240" w:lineRule="exact"/>
    </w:pPr>
    <w:rPr>
      <w:rFonts w:ascii="Times" w:eastAsia="Times New Roman" w:hAnsi="Times" w:cs="Times New Roman"/>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728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Schurch (Staff)</dc:creator>
  <cp:keywords/>
  <dc:description/>
  <cp:lastModifiedBy>Nicholas Schurch (Staff)</cp:lastModifiedBy>
  <cp:revision>3</cp:revision>
  <dcterms:created xsi:type="dcterms:W3CDTF">2019-01-29T13:45:00Z</dcterms:created>
  <dcterms:modified xsi:type="dcterms:W3CDTF">2019-01-30T11:40:00Z</dcterms:modified>
</cp:coreProperties>
</file>