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Explanation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Shi2024</w:t>
      </w:r>
      <w:r>
        <w:t xml:space="preserve"> </w:t>
      </w:r>
      <w:r>
        <w:t xml:space="preserve">AED</w:t>
      </w:r>
      <w:r>
        <w:t xml:space="preserve"> </w:t>
      </w:r>
      <w:r>
        <w:t xml:space="preserve">Cross-Check</w:t>
      </w:r>
    </w:p>
    <w:p>
      <w:pPr>
        <w:pStyle w:val="Author"/>
      </w:pPr>
      <w:r>
        <w:t xml:space="preserve">Compiled</w:t>
      </w:r>
      <w:r>
        <w:t xml:space="preserve"> </w:t>
      </w:r>
      <w:r>
        <w:t xml:space="preserve">2026-08-17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explains an independent-dataset cross-check of Aggregated Expression</w:t>
      </w:r>
      <w:r>
        <w:t xml:space="preserve"> </w:t>
      </w:r>
      <w:r>
        <w:t xml:space="preserve">Divergence (AED), run against Shi et al. 2024 (</w:t>
      </w:r>
      <w:r>
        <w:rPr>
          <w:iCs/>
          <w:i/>
        </w:rPr>
        <w:t xml:space="preserve">Plants</w:t>
      </w:r>
      <w:r>
        <w:t xml:space="preserve"> </w:t>
      </w:r>
      <w:r>
        <w:t xml:space="preserve">13(15):2095, PMC/MDPI), as a</w:t>
      </w:r>
      <w:r>
        <w:t xml:space="preserve"> </w:t>
      </w:r>
      <w:r>
        <w:t xml:space="preserve">supporting analysis for the core pyramided-</w:t>
      </w:r>
      <w:r>
        <w:rPr>
          <w:iCs/>
          <w:i/>
        </w:rPr>
        <w:t xml:space="preserve">Vitis vinifera</w:t>
      </w:r>
      <w:r>
        <w:t xml:space="preserve"> </w:t>
      </w:r>
      <w:r>
        <w:t xml:space="preserve">study. The guiding question:</w:t>
      </w:r>
      <w:r>
        <w:t xml:space="preserve"> </w:t>
      </w:r>
      <w:r>
        <w:t xml:space="preserve">is AED elevated, and shifted toward the right tail at later time, in genotypes carrying an</w:t>
      </w:r>
      <w:r>
        <w:t xml:space="preserve"> </w:t>
      </w:r>
      <w:r>
        <w:t xml:space="preserve">introgressed pathogen-resistance locus (MrRUN1/RPV1) compared to non-carriers — within one</w:t>
      </w:r>
      <w:r>
        <w:t xml:space="preserve"> </w:t>
      </w:r>
      <w:r>
        <w:t xml:space="preserve">cultivar over its own developmental time, and across cultivars at matched developmental</w:t>
      </w:r>
      <w:r>
        <w:t xml:space="preserve"> </w:t>
      </w:r>
      <w:r>
        <w:t xml:space="preserve">stage?</w:t>
      </w:r>
    </w:p>
    <w:p>
      <w:pPr>
        <w:pStyle w:val="BodyText"/>
      </w:pPr>
      <w:r>
        <w:t xml:space="preserve">This is explicitly a</w:t>
      </w:r>
      <w:r>
        <w:t xml:space="preserve"> </w:t>
      </w:r>
      <w:r>
        <w:rPr>
          <w:bCs/>
          <w:b/>
        </w:rPr>
        <w:t xml:space="preserve">supporting,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dirty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side-analysis</w:t>
      </w:r>
      <w:r>
        <w:t xml:space="preserve">, not a standalone</w:t>
      </w:r>
      <w:r>
        <w:t xml:space="preserve"> </w:t>
      </w:r>
      <w:r>
        <w:t xml:space="preserve">publication-grade reprocessing. Where it falls short of the rigor applied to the core study</w:t>
      </w:r>
      <w:r>
        <w:t xml:space="preserve"> </w:t>
      </w:r>
      <w:r>
        <w:t xml:space="preserve">(e.g. the Chitarrini2020 cross-check used for the MPMI rebuttal), that is a deliberate,</w:t>
      </w:r>
      <w:r>
        <w:t xml:space="preserve"> </w:t>
      </w:r>
      <w:r>
        <w:t xml:space="preserve">user-approved scope decision, noted inline below.</w:t>
      </w:r>
    </w:p>
    <w:bookmarkEnd w:id="20"/>
    <w:bookmarkStart w:id="22" w:name="data-source-and-structure"/>
    <w:p>
      <w:pPr>
        <w:pStyle w:val="Heading1"/>
      </w:pPr>
      <w:r>
        <w:t xml:space="preserve">1. Data source and structure</w:t>
      </w:r>
    </w:p>
    <w:p>
      <w:pPr>
        <w:pStyle w:val="FirstParagraph"/>
      </w:pPr>
      <w:r>
        <w:t xml:space="preserve">Shi et al. 2024 is</w:t>
      </w:r>
      <w:r>
        <w:t xml:space="preserve"> </w:t>
      </w:r>
      <w:r>
        <w:rPr>
          <w:bCs/>
          <w:b/>
        </w:rPr>
        <w:t xml:space="preserve">not a single new experiment</w:t>
      </w:r>
      <w:r>
        <w:t xml:space="preserve"> </w:t>
      </w:r>
      <w:r>
        <w:t xml:space="preserve">— it explicitly combines a 102-sample</w:t>
      </w:r>
      <w:r>
        <w:t xml:space="preserve"> </w:t>
      </w:r>
      <w:r>
        <w:t xml:space="preserve">RNA-seq dataset assembled from at least three separate original studies (paper’s own words,</w:t>
      </w:r>
      <w:r>
        <w:t xml:space="preserve"> </w:t>
      </w:r>
      <w:r>
        <w:t xml:space="preserve">Materials §4.1:</w:t>
      </w:r>
      <w:r>
        <w:t xml:space="preserve"> </w:t>
      </w:r>
      <w:r>
        <w:t xml:space="preserve">“</w:t>
      </w:r>
      <w:r>
        <w:t xml:space="preserve">part of which was published by [35,68]</w:t>
      </w:r>
      <w:r>
        <w:t xml:space="preserve">”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Genotype(s)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Savoi, Torregrosa, Romieu et al. (ref. 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PRJNA862686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HiSeq3000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Sichel, Sarah, Le Cunff et al.,</w:t>
            </w:r>
            <w:r>
              <w:t xml:space="preserve"> </w:t>
            </w:r>
            <w:r>
              <w:t xml:space="preserve">“</w:t>
            </w:r>
            <w:r>
              <w:t xml:space="preserve">Intravarietal Diversity</w:t>
            </w:r>
            <w:r>
              <w:t xml:space="preserve">”</w:t>
            </w:r>
            <w:r>
              <w:t xml:space="preserve"> </w:t>
            </w:r>
            <w:r>
              <w:t xml:space="preserve">(ref. 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MV102 (RUN1/RPV1 carrier) + MV32 (non-carrier)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PRJNA1121615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HiSeq3000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data for this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G5 (RUN1/RPV1 carrier)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PRJNA1118503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</w:t>
            </w:r>
            <w:r>
              <w:t xml:space="preserve"> </w:t>
            </w:r>
            <w:r>
              <w:t xml:space="preserve">“</w:t>
            </w:r>
            <w:r>
              <w:t xml:space="preserve">MiSeq</w:t>
            </w:r>
            <w:r>
              <w:t xml:space="preserve">”</w:t>
            </w:r>
            <w:r>
              <w:t xml:space="preserve"> </w:t>
            </w:r>
            <w:r>
              <w:t xml:space="preserve">in SRA; paper’s Methods says HiSeq3000 2×150bp — unresolved discrepancy, but did not manifest as a mapping-quality problem (G5 had the</w:t>
            </w:r>
            <w:r>
              <w:t xml:space="preserve"> </w:t>
            </w:r>
            <w:r>
              <w:rPr>
                <w:iCs/>
                <w:i/>
              </w:rPr>
              <w:t xml:space="preserve">highest</w:t>
            </w:r>
            <w:r>
              <w:t xml:space="preserve"> </w:t>
            </w:r>
            <w:r>
              <w:t xml:space="preserve">assignment rates, 94.5–96.2%, of the whole reprocessed set)</w:t>
            </w:r>
          </w:p>
        </w:tc>
      </w:tr>
    </w:tbl>
    <w:p>
      <w:pPr>
        <w:pStyle w:val="BodyText"/>
      </w:pPr>
      <w:r>
        <w:t xml:space="preserve">This</w:t>
      </w:r>
      <w:r>
        <w:t xml:space="preserve"> </w:t>
      </w:r>
      <w:r>
        <w:rPr>
          <w:bCs/>
          <w:b/>
        </w:rPr>
        <w:t xml:space="preserve">directly confirms the batch-effect premise</w:t>
      </w:r>
      <w:r>
        <w:t xml:space="preserve"> </w:t>
      </w:r>
      <w:r>
        <w:t xml:space="preserve">motivating this whole exercise: three</w:t>
      </w:r>
      <w:r>
        <w:t xml:space="preserve"> </w:t>
      </w:r>
      <w:r>
        <w:t xml:space="preserve">genuinely independent sequencing efforts were combined into one matrix, and the paper’s own</w:t>
      </w:r>
      <w:r>
        <w:t xml:space="preserve"> </w:t>
      </w:r>
      <w:r>
        <w:t xml:space="preserve">text contains</w:t>
      </w:r>
      <w:r>
        <w:t xml:space="preserve"> </w:t>
      </w:r>
      <w:r>
        <w:rPr>
          <w:bCs/>
          <w:b/>
        </w:rPr>
        <w:t xml:space="preserve">no discussion of batch correction at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Design summary (Table 1 of the paper):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Pech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SupAgro campus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Merlot clone 1/2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total</w:t>
            </w:r>
          </w:p>
        </w:tc>
      </w:tr>
    </w:tbl>
    <w:p>
      <w:pPr>
        <w:pStyle w:val="BodyText"/>
      </w:pPr>
      <w:r>
        <w:t xml:space="preserve">(Merlot samples are not in any of the three reprocessed BioProjects and were not pursued.)</w:t>
      </w:r>
    </w:p>
    <w:p>
      <w:pPr>
        <w:pStyle w:val="BodyText"/>
      </w:pPr>
      <w:r>
        <w:rPr>
          <w:bCs/>
          <w:b/>
        </w:rPr>
        <w:t xml:space="preserve">MV102 vs MV32</w:t>
      </w:r>
      <w:r>
        <w:t xml:space="preserve"> </w:t>
      </w:r>
      <w:r>
        <w:t xml:space="preserve">is the closest available</w:t>
      </w:r>
      <w:r>
        <w:t xml:space="preserve"> </w:t>
      </w:r>
      <w:r>
        <w:t xml:space="preserve">“</w:t>
      </w:r>
      <w:r>
        <w:t xml:space="preserve">ground-truth</w:t>
      </w:r>
      <w:r>
        <w:t xml:space="preserve">”</w:t>
      </w:r>
      <w:r>
        <w:t xml:space="preserve"> </w:t>
      </w:r>
      <w:r>
        <w:t xml:space="preserve">pair: same 5th-backcross family,</w:t>
      </w:r>
      <w:r>
        <w:t xml:space="preserve"> </w:t>
      </w:r>
      <w:r>
        <w:t xml:space="preserve">same collection design (7 nominal timepoints T0–T6, same greenhouse, same year), differing</w:t>
      </w:r>
      <w:r>
        <w:t xml:space="preserve"> </w:t>
      </w:r>
      <w:r>
        <w:t xml:space="preserve">only in RUN1/RPV1 carrier status. Per instruction, MV102 and MV32 (both from BioProject</w:t>
      </w:r>
      <w:r>
        <w:t xml:space="preserve"> </w:t>
      </w:r>
      <w:r>
        <w:t xml:space="preserve">PRJNA1121615) were treated as</w:t>
      </w:r>
      <w:r>
        <w:t xml:space="preserve"> </w:t>
      </w:r>
      <w:r>
        <w:rPr>
          <w:bCs/>
          <w:b/>
        </w:rPr>
        <w:t xml:space="preserve">one batch</w:t>
      </w:r>
      <w:r>
        <w:t xml:space="preserve"> </w:t>
      </w:r>
      <w:r>
        <w:t xml:space="preserve">for normalization purposes; Syrah and G5 were</w:t>
      </w:r>
      <w:r>
        <w:t xml:space="preserve"> </w:t>
      </w:r>
      <w:r>
        <w:t xml:space="preserve">each normalized separately as their own batch.</w:t>
      </w:r>
    </w:p>
    <w:bookmarkStart w:id="21" w:name="data-completeness"/>
    <w:p>
      <w:pPr>
        <w:pStyle w:val="Heading2"/>
      </w:pPr>
      <w:r>
        <w:t xml:space="preserve">Data completeness</w:t>
      </w:r>
    </w:p>
    <w:p>
      <w:pPr>
        <w:pStyle w:val="FirstParagraph"/>
      </w:pPr>
      <w:r>
        <w:t xml:space="preserve">The reprocessed count matrix (</w:t>
      </w:r>
      <w:r>
        <w:rPr>
          <w:rStyle w:val="VerbatimChar"/>
        </w:rPr>
        <w:t xml:space="preserve">shi2024_all_samples.counts.tsv</w:t>
      </w:r>
      <w:r>
        <w:t xml:space="preserve">) contains</w:t>
      </w:r>
      <w:r>
        <w:t xml:space="preserve"> </w:t>
      </w:r>
      <w:r>
        <w:rPr>
          <w:bCs/>
          <w:b/>
        </w:rPr>
        <w:t xml:space="preserve">74 of the</w:t>
      </w:r>
      <w:r>
        <w:rPr>
          <w:bCs/>
          <w:b/>
        </w:rPr>
        <w:t xml:space="preserve"> </w:t>
      </w:r>
      <w:r>
        <w:rPr>
          <w:bCs/>
          <w:b/>
        </w:rPr>
        <w:t xml:space="preserve">expected 83 samples</w:t>
      </w:r>
      <w:r>
        <w:t xml:space="preserve">. The alignment/counting job completed cleanly and reported this</w:t>
      </w:r>
      <w:r>
        <w:t xml:space="preserve"> </w:t>
      </w:r>
      <w:r>
        <w:t xml:space="preserve">itself (</w:t>
      </w:r>
      <w:r>
        <w:rPr>
          <w:rStyle w:val="VerbatimChar"/>
        </w:rPr>
        <w:t xml:space="preserve">featureCounts input: 74 BAMs present, 9 missing/not-yet-aligned</w:t>
      </w:r>
      <w:r>
        <w:t xml:space="preserve">) — the 9 missing</w:t>
      </w:r>
      <w:r>
        <w:t xml:space="preserve"> </w:t>
      </w:r>
      <w:r>
        <w:t xml:space="preserve">accessions simply hadn’t finished downloading when the alignment job ran. All 9 belong to</w:t>
      </w:r>
      <w:r>
        <w:t xml:space="preserve"> </w:t>
      </w:r>
      <w:r>
        <w:t xml:space="preserve">the MV102/MV32 BioProject, each removing one replicate from an otherwise-triplicate</w:t>
      </w:r>
      <w:r>
        <w:t xml:space="preserve"> </w:t>
      </w:r>
      <w:r>
        <w:t xml:space="preserve">genotype × timepoint cell (mostly leaving n=2 instead of n=3).</w:t>
      </w:r>
      <w:r>
        <w:t xml:space="preserve"> </w:t>
      </w:r>
      <w:r>
        <w:rPr>
          <w:bCs/>
          <w:b/>
        </w:rPr>
        <w:t xml:space="preserve">User sign-off</w:t>
      </w:r>
      <w:r>
        <w:t xml:space="preserve">: this gap</w:t>
      </w:r>
      <w:r>
        <w:t xml:space="preserve"> </w:t>
      </w:r>
      <w:r>
        <w:t xml:space="preserve">does not need to be closed for this supporting analysis and was carried forward as-is,</w:t>
      </w:r>
      <w:r>
        <w:t xml:space="preserve"> </w:t>
      </w:r>
      <w:r>
        <w:t xml:space="preserve">flagged inline wherever it affects a specific result.</w:t>
      </w:r>
    </w:p>
    <w:bookmarkEnd w:id="21"/>
    <w:bookmarkEnd w:id="22"/>
    <w:bookmarkStart w:id="23" w:name="method"/>
    <w:p>
      <w:pPr>
        <w:pStyle w:val="Heading1"/>
      </w:pPr>
      <w:r>
        <w:t xml:space="preserve">2. Method</w:t>
      </w:r>
    </w:p>
    <w:p>
      <w:pPr>
        <w:pStyle w:val="FirstParagraph"/>
      </w:pPr>
      <w:r>
        <w:t xml:space="preserve">The statistic and permutation-null design mirror this project’s own</w:t>
      </w:r>
      <w:r>
        <w:t xml:space="preserve"> </w:t>
      </w:r>
      <w:r>
        <w:rPr>
          <w:rStyle w:val="VerbatimChar"/>
        </w:rPr>
        <w:t xml:space="preserve">03_AED/</w:t>
      </w:r>
      <w:r>
        <w:t xml:space="preserve"> </w:t>
      </w:r>
      <w:r>
        <w:t xml:space="preserve">methodology exactly, for comparability: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AggrDiv</w:t>
      </w:r>
      <w:r>
        <w:t xml:space="preserve"> </w:t>
      </w:r>
      <w:r>
        <w:t xml:space="preserve">= mean, across genes, of the squared difference between the</w:t>
      </w:r>
      <w:r>
        <w:t xml:space="preserve"> </w:t>
      </w:r>
      <w:r>
        <w:t xml:space="preserve">“</w:t>
      </w:r>
      <w:r>
        <w:t xml:space="preserve">observed</w:t>
      </w:r>
      <w:r>
        <w:t xml:space="preserve">”</w:t>
      </w:r>
      <w:r>
        <w:t xml:space="preserve"> </w:t>
      </w:r>
      <w:r>
        <w:t xml:space="preserve">group’s</w:t>
      </w:r>
      <w:r>
        <w:t xml:space="preserve"> </w:t>
      </w:r>
      <w:r>
        <w:t xml:space="preserve">mean log2(DESeq2 size-factor-normalized counts + 1) and a fixed</w:t>
      </w:r>
      <w:r>
        <w:t xml:space="preserve"> </w:t>
      </w:r>
      <w:r>
        <w:t xml:space="preserve">“</w:t>
      </w:r>
      <w:r>
        <w:t xml:space="preserve">reference</w:t>
      </w:r>
      <w:r>
        <w:t xml:space="preserve">”</w:t>
      </w:r>
      <w:r>
        <w:t xml:space="preserve"> </w:t>
      </w:r>
      <w:r>
        <w:t xml:space="preserve">group’s mean.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Permutation null</w:t>
      </w:r>
      <w:r>
        <w:t xml:space="preserve">: pool = union of the observed and reference sample columns; every</w:t>
      </w:r>
      <w:r>
        <w:t xml:space="preserve"> </w:t>
      </w:r>
      <w:r>
        <w:t xml:space="preserve">unique same-size resample of the pool is drawn (</w:t>
      </w:r>
      <w:r>
        <w:rPr>
          <w:rStyle w:val="VerbatimChar"/>
        </w:rPr>
        <w:t xml:space="preserve">combn()</w:t>
      </w:r>
      <w:r>
        <w:t xml:space="preserve">), AggrDiv is recomputed for each</w:t>
      </w:r>
      <w:r>
        <w:t xml:space="preserve"> </w:t>
      </w:r>
      <w:r>
        <w:t xml:space="preserve">against the same fixed reference mean, and a one-sided empirical p-value is calculated as</w:t>
      </w:r>
      <w:r>
        <w:t xml:space="preserve"> </w:t>
      </w:r>
      <w:r>
        <w:t xml:space="preserve">(number of null draws ≥ observed + 1) / (number of null draws + 1).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ComBat correction</w:t>
      </w:r>
      <w:r>
        <w:t xml:space="preserve"> </w:t>
      </w:r>
      <w:r>
        <w:t xml:space="preserve">was applied within Shi2024: batches here are distinct BioProjects</w:t>
      </w:r>
      <w:r>
        <w:t xml:space="preserve"> </w:t>
      </w:r>
      <w:r>
        <w:t xml:space="preserve">with no shared per-sample technical covariate to correct for (unlike the main study, which</w:t>
      </w:r>
      <w:r>
        <w:t xml:space="preserve"> </w:t>
      </w:r>
      <w:r>
        <w:t xml:space="preserve">has a known, correctable sequencing-batch confound corrected via condition-protected</w:t>
      </w:r>
      <w:r>
        <w:t xml:space="preserve"> </w:t>
      </w:r>
      <w:r>
        <w:t xml:space="preserve">ComBat).</w:t>
      </w:r>
    </w:p>
    <w:p>
      <w:pPr>
        <w:numPr>
          <w:ilvl w:val="0"/>
          <w:numId w:val="1001"/>
        </w:numPr>
        <w:pStyle w:val="Compact"/>
      </w:pPr>
      <w:r>
        <w:t xml:space="preserve">Where a genotype × timepoint cell has only 2 replicates (due to the missing-9 issue), the</w:t>
      </w:r>
      <w:r>
        <w:t xml:space="preserve"> </w:t>
      </w:r>
      <w:r>
        <w:t xml:space="preserve">null draw size was adjusted to match (2 instead of 3), rather than assuming every group has</w:t>
      </w:r>
      <w:r>
        <w:t xml:space="preserve"> </w:t>
      </w:r>
      <w:r>
        <w:t xml:space="preserve">3 replicates.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Self-check</w:t>
      </w:r>
      <w:r>
        <w:t xml:space="preserve">: comparing an identical group against itself was verified to give</w:t>
      </w:r>
      <w:r>
        <w:t xml:space="preserve"> </w:t>
      </w:r>
      <w:r>
        <w:t xml:space="preserve">AggrDiv = 0 exactly, confirming the statistic’s implementation before trusting any result.</w:t>
      </w:r>
    </w:p>
    <w:bookmarkEnd w:id="23"/>
    <w:bookmarkStart w:id="24" w:name="X7fb631ed4db848a33cef7c67f5b77d08a994bd6"/>
    <w:p>
      <w:pPr>
        <w:pStyle w:val="Heading1"/>
      </w:pPr>
      <w:r>
        <w:t xml:space="preserve">3. T-index validation for the cross-cultivar comparison</w:t>
      </w:r>
    </w:p>
    <w:p>
      <w:pPr>
        <w:pStyle w:val="FirstParagraph"/>
      </w:pPr>
      <w:r>
        <w:t xml:space="preserve">The T0–T6 stage labels are</w:t>
      </w:r>
      <w:r>
        <w:t xml:space="preserve"> </w:t>
      </w:r>
      <w:r>
        <w:rPr>
          <w:bCs/>
          <w:b/>
        </w:rPr>
        <w:t xml:space="preserve">per-genotype physiological indices</w:t>
      </w:r>
      <w:r>
        <w:t xml:space="preserve"> </w:t>
      </w:r>
      <w:r>
        <w:t xml:space="preserve">(the paper stages samples</w:t>
      </w:r>
      <w:r>
        <w:t xml:space="preserve"> </w:t>
      </w:r>
      <w:r>
        <w:t xml:space="preserve">by sugar and organic-acid trajectories, not calendar date) — assuming</w:t>
      </w:r>
      <w:r>
        <w:t xml:space="preserve"> </w:t>
      </w:r>
      <w:r>
        <w:t xml:space="preserve">“</w:t>
      </w:r>
      <w:r>
        <w:t xml:space="preserve">MV102-T3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MV32-T3</w:t>
      </w:r>
      <w:r>
        <w:t xml:space="preserve">”</w:t>
      </w:r>
      <w:r>
        <w:t xml:space="preserve"> </w:t>
      </w:r>
      <w:r>
        <w:t xml:space="preserve">represent the same ripening stage just because they share a label is an</w:t>
      </w:r>
      <w:r>
        <w:t xml:space="preserve"> </w:t>
      </w:r>
      <w:r>
        <w:t xml:space="preserve">unverified assumption. This was tested directly, using Table S2’s per-sample glucose +</w:t>
      </w:r>
      <w:r>
        <w:t xml:space="preserve"> </w:t>
      </w:r>
      <w:r>
        <w:t xml:space="preserve">fructose (</w:t>
      </w:r>
      <w:r>
        <w:t xml:space="preserve">“</w:t>
      </w:r>
      <w:r>
        <w:t xml:space="preserve">sugar</w:t>
      </w:r>
      <w:r>
        <w:t xml:space="preserve">”</w:t>
      </w:r>
      <w:r>
        <w:t xml:space="preserve">) and malic-acid HPLC measurements, before running any cross-cultivar</w:t>
      </w:r>
      <w:r>
        <w:t xml:space="preserve"> </w:t>
      </w:r>
      <w:r>
        <w:t xml:space="preserve">comparison.</w:t>
      </w:r>
    </w:p>
    <w:p>
      <w:pPr>
        <w:pStyle w:val="BodyText"/>
      </w:pPr>
      <w:r>
        <w:rPr>
          <w:bCs/>
          <w:b/>
        </w:rPr>
        <w:t xml:space="preserve">Method</w:t>
      </w:r>
      <w:r>
        <w:t xml:space="preserve">: for each MV102 stage, the nearest MV32 stage in log-sugar space was identified;</w:t>
      </w:r>
      <w:r>
        <w:t xml:space="preserve"> </w:t>
      </w:r>
      <w:r>
        <w:t xml:space="preserve">a nominal pairing (same label on both sides) was only accepted as valid if it was in fact</w:t>
      </w:r>
      <w:r>
        <w:t xml:space="preserve"> </w:t>
      </w:r>
      <w:r>
        <w:t xml:space="preserve">each other’s nearest neighbor, and the relative sugar difference was under 30%. Malic acid</w:t>
      </w:r>
      <w:r>
        <w:t xml:space="preserve"> </w:t>
      </w:r>
      <w:r>
        <w:t xml:space="preserve">was used as an independent corroboration check.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 only</w:t>
      </w:r>
      <w:r>
        <w:t xml:space="preserve"> </w:t>
      </w:r>
      <w:r>
        <w:rPr>
          <w:bCs/>
          <w:b/>
        </w:rPr>
        <w:t xml:space="preserve">T0, T1, T4, and T6 validated</w:t>
      </w:r>
      <w:r>
        <w:t xml:space="preserve"> </w:t>
      </w:r>
      <w:r>
        <w:t xml:space="preserve">(4 of 7). At T2, T3, and T5, MV32 is</w:t>
      </w:r>
      <w:r>
        <w:t xml:space="preserve"> </w:t>
      </w:r>
      <w:r>
        <w:t xml:space="preserve">running 34–44% ahead of MV102 in sugar accumulation at the same nominal label — MV102 lags</w:t>
      </w:r>
      <w:r>
        <w:t xml:space="preserve"> </w:t>
      </w:r>
      <w:r>
        <w:t xml:space="preserve">roughly one physiological stage behind MV32 there. A global brute-force check (testing all</w:t>
      </w:r>
      <w:r>
        <w:t xml:space="preserve"> </w:t>
      </w:r>
      <w:r>
        <w:t xml:space="preserve">5,040 possible 1-to-1 alignments of the two genotypes’ 7 stages) ranked the nominal</w:t>
      </w:r>
      <w:r>
        <w:t xml:space="preserve"> </w:t>
      </w:r>
      <w:r>
        <w:t xml:space="preserve">(identity) alignment as globally optimal — but this test is a weak instrument here, since a</w:t>
      </w:r>
      <w:r>
        <w:t xml:space="preserve"> </w:t>
      </w:r>
      <w:r>
        <w:t xml:space="preserve">forced one-to-one alignment cannot detect the kind of axis-compression desynchronization the</w:t>
      </w:r>
      <w:r>
        <w:t xml:space="preserve"> </w:t>
      </w:r>
      <w:r>
        <w:t xml:space="preserve">per-pair test found, so it does not override the per-pair exclusion of T2/T3/T5.</w:t>
      </w:r>
    </w:p>
    <w:p>
      <w:pPr>
        <w:pStyle w:val="BodyText"/>
      </w:pPr>
      <w:r>
        <w:rPr>
          <w:bCs/>
          <w:b/>
        </w:rPr>
        <w:t xml:space="preserve">Consequence</w:t>
      </w:r>
      <w:r>
        <w:t xml:space="preserve">: the cross-cultivar MV102-vs-MV32 comparison was restricted to T0, T1, T4,</w:t>
      </w:r>
      <w:r>
        <w:t xml:space="preserve"> </w:t>
      </w:r>
      <w:r>
        <w:t xml:space="preserve">and T6 only.</w:t>
      </w:r>
    </w:p>
    <w:bookmarkEnd w:id="24"/>
    <w:bookmarkStart w:id="25" w:name="X6672dd478eef22fdb2f426b3401c43e6c2b57f4"/>
    <w:p>
      <w:pPr>
        <w:pStyle w:val="Heading1"/>
      </w:pPr>
      <w:r>
        <w:t xml:space="preserve">4. A structural caveat that changes what the cross-cultivar test can show</w:t>
      </w:r>
    </w:p>
    <w:p>
      <w:pPr>
        <w:pStyle w:val="FirstParagraph"/>
      </w:pPr>
      <w:r>
        <w:t xml:space="preserve">Shi et al. 2024 involved</w:t>
      </w:r>
      <w:r>
        <w:t xml:space="preserve"> </w:t>
      </w:r>
      <w:r>
        <w:rPr>
          <w:bCs/>
          <w:b/>
        </w:rPr>
        <w:t xml:space="preserve">no pathogen challenge and no mock treatment arm at all</w:t>
      </w:r>
      <w:r>
        <w:t xml:space="preserve"> </w:t>
      </w:r>
      <w:r>
        <w:t xml:space="preserve">— it is</w:t>
      </w:r>
      <w:r>
        <w:t xml:space="preserve"> </w:t>
      </w:r>
      <w:r>
        <w:t xml:space="preserve">a pure, healthy-plant berry-development time series (confirmed directly in the paper’s</w:t>
      </w:r>
      <w:r>
        <w:t xml:space="preserve"> </w:t>
      </w:r>
      <w:r>
        <w:t xml:space="preserve">Methods §4.2: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only healthy undamaged bunches were considered for analysis</w:t>
      </w:r>
      <w:r>
        <w:rPr>
          <w:iCs/>
          <w:i/>
        </w:rPr>
        <w:t xml:space="preserve">”</w:t>
      </w:r>
      <w:r>
        <w:t xml:space="preserve">; growth was</w:t>
      </w:r>
      <w:r>
        <w:t xml:space="preserve"> </w:t>
      </w:r>
      <w:r>
        <w:t xml:space="preserve">under normal greenhouse/field cultivation with no inoculation step described anywhere).</w:t>
      </w:r>
    </w:p>
    <w:p>
      <w:pPr>
        <w:pStyle w:val="BodyText"/>
      </w:pPr>
      <w:r>
        <w:t xml:space="preserve">This is categorically different from the main study’s 0hpi or Chitarrini’s mock, which are</w:t>
      </w:r>
      <w:r>
        <w:t xml:space="preserve"> </w:t>
      </w:r>
      <w:r>
        <w:t xml:space="preserve">real pre-stimulus moments where genotypes are</w:t>
      </w:r>
      <w:r>
        <w:t xml:space="preserve"> </w:t>
      </w:r>
      <w:r>
        <w:rPr>
          <w:iCs/>
          <w:i/>
        </w:rPr>
        <w:t xml:space="preserve">expected</w:t>
      </w:r>
      <w:r>
        <w:t xml:space="preserve"> </w:t>
      </w:r>
      <w:r>
        <w:t xml:space="preserve">to look alike, making divergence</w:t>
      </w:r>
      <w:r>
        <w:t xml:space="preserve"> </w:t>
      </w:r>
      <w:r>
        <w:t xml:space="preserve">there diagnostic of a background confound. MV102 and MV32 never share a common starting</w:t>
      </w:r>
      <w:r>
        <w:t xml:space="preserve"> </w:t>
      </w:r>
      <w:r>
        <w:t xml:space="preserve">point to diverge from —</w:t>
      </w:r>
      <w:r>
        <w:t xml:space="preserve"> </w:t>
      </w:r>
      <w:r>
        <w:t xml:space="preserve">“</w:t>
      </w:r>
      <w:r>
        <w:t xml:space="preserve">T0</w:t>
      </w:r>
      <w:r>
        <w:t xml:space="preserve">”</w:t>
      </w:r>
      <w:r>
        <w:t xml:space="preserve"> </w:t>
      </w:r>
      <w:r>
        <w:t xml:space="preserve">here just means</w:t>
      </w:r>
      <w:r>
        <w:t xml:space="preserve"> </w:t>
      </w:r>
      <w:r>
        <w:t xml:space="preserve">“</w:t>
      </w:r>
      <w:r>
        <w:t xml:space="preserve">earliest stage sampled</w:t>
      </w:r>
      <w:r>
        <w:t xml:space="preserve">”</w:t>
      </w:r>
      <w:r>
        <w:t xml:space="preserve"> </w:t>
      </w:r>
      <w:r>
        <w:t xml:space="preserve">per line, not a</w:t>
      </w:r>
      <w:r>
        <w:t xml:space="preserve"> </w:t>
      </w:r>
      <w:r>
        <w:t xml:space="preserve">pre-treatment baseline.</w:t>
      </w:r>
    </w:p>
    <w:p>
      <w:pPr>
        <w:pStyle w:val="BodyText"/>
      </w:pPr>
      <w:r>
        <w:rPr>
          <w:bCs/>
          <w:b/>
        </w:rPr>
        <w:t xml:space="preserve">Consequently, the cross-cultivar trajectory does not test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an induced response shift</w:t>
      </w:r>
      <w:r>
        <w:rPr>
          <w:bCs/>
          <w:b/>
        </w:rPr>
        <w:t xml:space="preserve"> </w:t>
      </w:r>
      <w:r>
        <w:rPr>
          <w:bCs/>
          <w:b/>
        </w:rPr>
        <w:t xml:space="preserve">toward later time</w:t>
      </w:r>
      <w:r>
        <w:rPr>
          <w:bCs/>
          <w:b/>
        </w:rPr>
        <w:t xml:space="preserve">”</w:t>
      </w:r>
      <w:r>
        <w:t xml:space="preserve"> </w:t>
      </w:r>
      <w:r>
        <w:t xml:space="preserve">the way the main study’s hours-post-inoculation analysis does — there</w:t>
      </w:r>
      <w:r>
        <w:t xml:space="preserve"> </w:t>
      </w:r>
      <w:r>
        <w:t xml:space="preserve">is no induction here to shift. It measures</w:t>
      </w:r>
      <w:r>
        <w:t xml:space="preserve"> </w:t>
      </w:r>
      <w:r>
        <w:rPr>
          <w:bCs/>
          <w:b/>
        </w:rPr>
        <w:t xml:space="preserve">constitutive, non-isogenic background</w:t>
      </w:r>
      <w:r>
        <w:rPr>
          <w:bCs/>
          <w:b/>
        </w:rPr>
        <w:t xml:space="preserve"> </w:t>
      </w:r>
      <w:r>
        <w:rPr>
          <w:bCs/>
          <w:b/>
        </w:rPr>
        <w:t xml:space="preserve">divergence</w:t>
      </w:r>
      <w:r>
        <w:t xml:space="preserve"> </w:t>
      </w:r>
      <w:r>
        <w:t xml:space="preserve">between two bred lines, convolved with developmental stage. It remains a</w:t>
      </w:r>
      <w:r>
        <w:t xml:space="preserve"> </w:t>
      </w:r>
      <w:r>
        <w:t xml:space="preserve">legitimate, useful independent data point for the</w:t>
      </w:r>
      <w:r>
        <w:t xml:space="preserve"> </w:t>
      </w:r>
      <w:r>
        <w:t xml:space="preserve">“</w:t>
      </w:r>
      <w:r>
        <w:t xml:space="preserve">backgrounds are not strictly isogenic</w:t>
      </w:r>
      <w:r>
        <w:t xml:space="preserve">”</w:t>
      </w:r>
      <w:r>
        <w:t xml:space="preserve"> </w:t>
      </w:r>
      <w:r>
        <w:t xml:space="preserve">caveat already present in the main study’s Limitations section — but it answers an adjacent</w:t>
      </w:r>
      <w:r>
        <w:t xml:space="preserve"> </w:t>
      </w:r>
      <w:r>
        <w:t xml:space="preserve">question, not the same right-tail-shift hypothesis originally posed, and should not be cited</w:t>
      </w:r>
      <w:r>
        <w:t xml:space="preserve"> </w:t>
      </w:r>
      <w:r>
        <w:t xml:space="preserve">as evidence for or against locus-driven</w:t>
      </w:r>
      <w:r>
        <w:t xml:space="preserve"> </w:t>
      </w:r>
      <w:r>
        <w:rPr>
          <w:iCs/>
          <w:i/>
        </w:rPr>
        <w:t xml:space="preserve">induced</w:t>
      </w:r>
      <w:r>
        <w:t xml:space="preserve"> </w:t>
      </w:r>
      <w:r>
        <w:t xml:space="preserve">divergence.</w:t>
      </w:r>
    </w:p>
    <w:bookmarkEnd w:id="25"/>
    <w:bookmarkStart w:id="26" w:name="Xd9a7d2e4f0824bb675d45730de75b50bf57fc71"/>
    <w:p>
      <w:pPr>
        <w:pStyle w:val="Heading1"/>
      </w:pPr>
      <w:r>
        <w:t xml:space="preserve">5. Within-cultivar and cross-cultivar results (raw magnitude)</w:t>
      </w:r>
    </w:p>
    <w:p>
      <w:pPr>
        <w:pStyle w:val="FirstParagraph"/>
      </w:pPr>
      <w:r>
        <w:rPr>
          <w:bCs/>
          <w:b/>
        </w:rPr>
        <w:t xml:space="preserve">Headline methodological finding</w:t>
      </w:r>
      <w:r>
        <w:t xml:space="preserve">: every single test run (28 in Shi2024, 8 more in the</w:t>
      </w:r>
      <w:r>
        <w:t xml:space="preserve"> </w:t>
      </w:r>
      <w:r>
        <w:t xml:space="preserve">own-study extension below — 36 in total) landed at the exact permutation floor achievable</w:t>
      </w:r>
      <w:r>
        <w:t xml:space="preserve"> </w:t>
      </w:r>
      <w:r>
        <w:t xml:space="preserve">given its pool size. This is not a bug — a self-check and cross-reference against the</w:t>
      </w:r>
      <w:r>
        <w:t xml:space="preserve"> </w:t>
      </w:r>
      <w:r>
        <w:t xml:space="preserve">Chitarrini and own-study scripts confirmed correct implementation — and, on reflection</w:t>
      </w:r>
      <w:r>
        <w:t xml:space="preserve"> </w:t>
      </w:r>
      <w:r>
        <w:t xml:space="preserve">(see §7 below), it is not actually surprising: a real, consistent triplicate biological</w:t>
      </w:r>
      <w:r>
        <w:t xml:space="preserve"> </w:t>
      </w:r>
      <w:r>
        <w:t xml:space="preserve">comparison is expected to reliably out-diverge random same-pool resamplings, and it does, in</w:t>
      </w:r>
      <w:r>
        <w:t xml:space="preserve"> </w:t>
      </w:r>
      <w:r>
        <w:t xml:space="preserve">every test performed. What varies test-to-test, and is genuinely informative, is</w:t>
      </w:r>
      <w:r>
        <w:t xml:space="preserve"> </w:t>
      </w:r>
      <w:r>
        <w:rPr>
          <w:iCs/>
          <w:i/>
        </w:rPr>
        <w:t xml:space="preserve">how far</w:t>
      </w:r>
      <w:r>
        <w:t xml:space="preserve"> </w:t>
      </w:r>
      <w:r>
        <w:t xml:space="preserve">into the tail the observed value sits, not whether it clears an arbitrary significance</w:t>
      </w:r>
      <w:r>
        <w:t xml:space="preserve"> </w:t>
      </w:r>
      <w:r>
        <w:t xml:space="preserve">threshold.</w:t>
      </w:r>
    </w:p>
    <w:p>
      <w:pPr>
        <w:pStyle w:val="BodyText"/>
      </w:pPr>
      <w:r>
        <w:rPr>
          <w:bCs/>
          <w:b/>
        </w:rPr>
        <w:t xml:space="preserve">Raw AggrDiv trajectories</w:t>
      </w:r>
      <w:r>
        <w:t xml:space="preserve"> </w:t>
      </w:r>
      <w:r>
        <w:t xml:space="preserve">(read with the comparability caveat in §6 in mind):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MV102</w:t>
      </w:r>
      <w:r>
        <w:t xml:space="preserve"> </w:t>
      </w:r>
      <w:r>
        <w:t xml:space="preserve">(T1→T6 vs its own T0): 1.21, 2.00, 2.87, 4.41, 4.96, 5.33 — monotonic increase.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MV32</w:t>
      </w:r>
      <w:r>
        <w:t xml:space="preserve"> </w:t>
      </w:r>
      <w:r>
        <w:t xml:space="preserve">(T1→T6 vs its own T0): 0.92, 2.53, 3.07, 3.31, 5.74, 5.23 — increases but dips at</w:t>
      </w:r>
      <w:r>
        <w:t xml:space="preserve"> </w:t>
      </w:r>
      <w:r>
        <w:t xml:space="preserve">T6; built almost entirely from n=2-vs-n=2 groups (MV32 lost a replicate at every timepoint</w:t>
      </w:r>
      <w:r>
        <w:t xml:space="preserve"> </w:t>
      </w:r>
      <w:r>
        <w:t xml:space="preserve">except T1) — the noisiest numbers in this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Syrah background</w:t>
      </w:r>
      <w:r>
        <w:t xml:space="preserve"> </w:t>
      </w:r>
      <w:r>
        <w:t xml:space="preserve">(DEV02→DEV11 vs its own DEV01, full n=3 throughout, no resistance</w:t>
      </w:r>
      <w:r>
        <w:t xml:space="preserve"> </w:t>
      </w:r>
      <w:r>
        <w:t xml:space="preserve">locus at all): 1.05, 2.21, 3.20, 3.30, 3.56, 4.02, 4.55, 4.90, 6.58, 6.95 — comparable</w:t>
      </w:r>
      <w:r>
        <w:t xml:space="preserve"> </w:t>
      </w:r>
      <w:r>
        <w:t xml:space="preserve">overall scale and growth rate to MV102/MV32’s own trajectories.</w:t>
      </w:r>
      <w:r>
        <w:t xml:space="preserve"> </w:t>
      </w:r>
      <w:r>
        <w:rPr>
          <w:bCs/>
          <w:b/>
        </w:rPr>
        <w:t xml:space="preserve">MV102 and MV32’s</w:t>
      </w:r>
      <w:r>
        <w:rPr>
          <w:bCs/>
          <w:b/>
        </w:rPr>
        <w:t xml:space="preserve"> </w:t>
      </w:r>
      <w:r>
        <w:rPr>
          <w:bCs/>
          <w:b/>
        </w:rPr>
        <w:t xml:space="preserve">developmental AED is not obviously larger than a locus-free susceptible cultivar’s normal</w:t>
      </w:r>
      <w:r>
        <w:rPr>
          <w:bCs/>
          <w:b/>
        </w:rPr>
        <w:t xml:space="preserve"> </w:t>
      </w:r>
      <w:r>
        <w:rPr>
          <w:bCs/>
          <w:b/>
        </w:rPr>
        <w:t xml:space="preserve">ripening-driven AED</w:t>
      </w:r>
      <w:r>
        <w:t xml:space="preserve"> </w:t>
      </w:r>
      <w:r>
        <w:t xml:space="preserve">on this within-cultivar framing.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Cross-cultivar MV102-vs-MV32</w:t>
      </w:r>
      <w:r>
        <w:t xml:space="preserve">, validated T’s only: T0=1.04, T1=1.02, T4=1.95, T6=1.29 —</w:t>
      </w:r>
      <w:r>
        <w:t xml:space="preserve"> </w:t>
      </w:r>
      <w:r>
        <w:t xml:space="preserve">flat/bumpy, no clean monotonic increase toward later developmental time.</w:t>
      </w:r>
    </w:p>
    <w:bookmarkEnd w:id="26"/>
    <w:bookmarkStart w:id="27" w:name="X939fe4b92a01064dbd0a613373dc03f991cf31c"/>
    <w:p>
      <w:pPr>
        <w:pStyle w:val="Heading1"/>
      </w:pPr>
      <w:r>
        <w:t xml:space="preserve">6. Are these AED values directly comparable across tests? — No, not without correction</w:t>
      </w:r>
    </w:p>
    <w:p>
      <w:pPr>
        <w:pStyle w:val="FirstParagraph"/>
      </w:pPr>
      <w:r>
        <w:t xml:space="preserve">This was tested empirically rather than assumed. Every saved test already carries its own</w:t>
      </w:r>
      <w:r>
        <w:t xml:space="preserve"> </w:t>
      </w:r>
      <w:r>
        <w:t xml:space="preserve">permutation null, drawn from that exact pool/batch/gene-set/replicate-size — the correct,</w:t>
      </w:r>
      <w:r>
        <w:t xml:space="preserve"> </w:t>
      </w:r>
      <w:r>
        <w:t xml:space="preserve">already-available yardstick for cross-test comparison. Computing the Spearman correlation</w:t>
      </w:r>
      <w:r>
        <w:t xml:space="preserve"> </w:t>
      </w:r>
      <w:r>
        <w:t xml:space="preserve">between each test’s</w:t>
      </w:r>
      <w:r>
        <w:t xml:space="preserve"> </w:t>
      </w:r>
      <w:r>
        <w:rPr>
          <w:bCs/>
          <w:b/>
        </w:rPr>
        <w:t xml:space="preserve">raw</w:t>
      </w:r>
      <w:r>
        <w:t xml:space="preserve"> </w:t>
      </w:r>
      <w:r>
        <w:t xml:space="preserve">AggrDiv and its own null’s median level, across all 55 tests</w:t>
      </w:r>
      <w:r>
        <w:t xml:space="preserve"> </w:t>
      </w:r>
      <w:r>
        <w:t xml:space="preserve">spanning Shi2024, Chitarrini2020, the own-study within-genotype extension, and the</w:t>
      </w:r>
      <w:r>
        <w:t xml:space="preserve"> </w:t>
      </w:r>
      <w:r>
        <w:t xml:space="preserve">manuscript’s own original cross-genotype tests (§8, §10):</w:t>
      </w:r>
    </w:p>
    <w:p>
      <w:pPr>
        <w:pStyle w:val="BlockText"/>
      </w:pPr>
      <w:r>
        <w:rPr>
          <w:bCs/>
          <w:b/>
        </w:rPr>
        <w:t xml:space="preserve">Spearman ρ(raw AggrDiv, own null median) = 0.947 (p ≈ 0, n = 55)</w:t>
      </w:r>
    </w:p>
    <w:p>
      <w:pPr>
        <w:pStyle w:val="FirstParagraph"/>
      </w:pPr>
      <w:r>
        <w:rPr>
          <w:bCs/>
          <w:b/>
        </w:rPr>
        <w:t xml:space="preserve">This number was itself checked for a circularity problem and revised down.</w:t>
      </w:r>
      <w:r>
        <w:t xml:space="preserve"> </w:t>
      </w:r>
      <w:r>
        <w:t xml:space="preserve">Every saved</w:t>
      </w:r>
      <w:r>
        <w:t xml:space="preserve"> </w:t>
      </w:r>
      <w:r>
        <w:t xml:space="preserve">null, by construction, contains the true observed obs-vs-ref combination verbatim as one of</w:t>
      </w:r>
      <w:r>
        <w:t xml:space="preserve"> </w:t>
      </w:r>
      <w:r>
        <w:t xml:space="preserve">its own draws (the same self-inclusion mechanism used throughout this project’s permutation</w:t>
      </w:r>
      <w:r>
        <w:t xml:space="preserve"> </w:t>
      </w:r>
      <w:r>
        <w:t xml:space="preserve">tests, standard practice for empirical p-values — Phipson &amp; Smyth 2010). For an empirical</w:t>
      </w:r>
      <w:r>
        <w:t xml:space="preserve"> </w:t>
      </w:r>
      <w:r>
        <w:t xml:space="preserve">p-value that is the correct, conservative thing to do; but for using the null’s median as an</w:t>
      </w:r>
      <w:r>
        <w:t xml:space="preserve"> </w:t>
      </w:r>
      <w:r>
        <w:t xml:space="preserve">independent</w:t>
      </w:r>
      <w:r>
        <w:t xml:space="preserve"> </w:t>
      </w:r>
      <w:r>
        <w:t xml:space="preserve">“</w:t>
      </w:r>
      <w:r>
        <w:t xml:space="preserve">noise floor</w:t>
      </w:r>
      <w:r>
        <w:t xml:space="preserve">”</w:t>
      </w:r>
      <w:r>
        <w:t xml:space="preserve"> </w:t>
      </w:r>
      <w:r>
        <w:t xml:space="preserve">estimate, self-inclusion is a real problem — a large AggrDiv could</w:t>
      </w:r>
      <w:r>
        <w:t xml:space="preserve"> </w:t>
      </w:r>
      <w:r>
        <w:t xml:space="preserve">mechanically pull up its own null’s median just by being one of only 6–20 draws, which would</w:t>
      </w:r>
      <w:r>
        <w:t xml:space="preserve"> </w:t>
      </w:r>
      <w:r>
        <w:t xml:space="preserve">make part of the correlation circular. Removing the one self-matching draw from each</w:t>
      </w:r>
      <w:r>
        <w:t xml:space="preserve"> </w:t>
      </w:r>
      <w:r>
        <w:t xml:space="preserve">null before recomputing the correlation (</w:t>
      </w:r>
      <w:r>
        <w:rPr>
          <w:rStyle w:val="VerbatimChar"/>
        </w:rPr>
        <w:t xml:space="preserve">AED_selfinclusion_sensitivity_check.R</w:t>
      </w:r>
      <w:r>
        <w:t xml:space="preserve">) gives:</w:t>
      </w:r>
    </w:p>
    <w:p>
      <w:pPr>
        <w:pStyle w:val="BlockText"/>
      </w:pPr>
      <w:r>
        <w:rPr>
          <w:bCs/>
          <w:b/>
        </w:rPr>
        <w:t xml:space="preserve">Spearman ρ, self-inclusion removed = 0.754</w:t>
      </w:r>
      <w:r>
        <w:t xml:space="preserve"> </w:t>
      </w:r>
      <w:r>
        <w:t xml:space="preserve">(still p ≈ 0, n = 55; mean null-median</w:t>
      </w:r>
      <w:r>
        <w:t xml:space="preserve"> </w:t>
      </w:r>
      <w:r>
        <w:t xml:space="preserve">shift from removing self-inclusion: 23%, max 56%)</w:t>
      </w:r>
    </w:p>
    <w:p>
      <w:pPr>
        <w:pStyle w:val="FirstParagraph"/>
      </w:pPr>
      <w:r>
        <w:t xml:space="preserve">Both values are strong and highly significant — the comparability finding is not an</w:t>
      </w:r>
      <w:r>
        <w:t xml:space="preserve"> </w:t>
      </w:r>
      <w:r>
        <w:t xml:space="preserve">artifact of self-inclusion — but</w:t>
      </w:r>
      <w:r>
        <w:t xml:space="preserve"> </w:t>
      </w:r>
      <w:r>
        <w:rPr>
          <w:bCs/>
          <w:b/>
        </w:rPr>
        <w:t xml:space="preserve">0.754 is the more defensible number to cite</w:t>
      </w:r>
      <w:r>
        <w:t xml:space="preserve">; part of</w:t>
      </w:r>
      <w:r>
        <w:t xml:space="preserve"> </w:t>
      </w:r>
      <w:r>
        <w:t xml:space="preserve">the raw correlation’s apparent strength was mechanical. Either way, raw AggrDiv is</w:t>
      </w:r>
      <w:r>
        <w:t xml:space="preserve"> </w:t>
      </w:r>
      <w:r>
        <w:t xml:space="preserve">substantially explained by each test’s own noise floor (gene-set size, per-batch</w:t>
      </w:r>
      <w:r>
        <w:t xml:space="preserve"> </w:t>
      </w:r>
      <w:r>
        <w:t xml:space="preserve">sequencing depth, replicate count, and — visible now that the manuscript’s own 220-value-</w:t>
      </w:r>
      <w:r>
        <w:t xml:space="preserve"> </w:t>
      </w:r>
      <w:r>
        <w:t xml:space="preserve">null tests are included — the null’s own sample size, since a much larger null resolves</w:t>
      </w:r>
      <w:r>
        <w:t xml:space="preserve"> </w:t>
      </w:r>
      <w:r>
        <w:t xml:space="preserve">extremes more precisely than a 6–20-value one), not by an independent biological-magnitude</w:t>
      </w:r>
      <w:r>
        <w:t xml:space="preserve"> </w:t>
      </w:r>
      <w:r>
        <w:t xml:space="preserve">component. Raw AggrDiv’s roughly 34-fold range (0.20–6.95) collapses to a 5-fold range once</w:t>
      </w:r>
      <w:r>
        <w:t xml:space="preserve"> </w:t>
      </w:r>
      <w:r>
        <w:t xml:space="preserve">expressed relative to each test’s own null, as a z-score, or 2.5-fold as a fold-over-null-</w:t>
      </w:r>
      <w:r>
        <w:t xml:space="preserve"> </w:t>
      </w:r>
      <w:r>
        <w:t xml:space="preserve">median — the</w:t>
      </w:r>
      <w:r>
        <w:t xml:space="preserve"> </w:t>
      </w:r>
      <w:r>
        <w:t xml:space="preserve">z-scores themselves inherit a mild version of the same self-inclusion conservatism (their</w:t>
      </w:r>
      <w:r>
        <w:t xml:space="preserve"> </w:t>
      </w:r>
      <w:r>
        <w:t xml:space="preserve">denominator is a self-inclusive null mean/sd), not separately corrected here, so treat exact</w:t>
      </w:r>
      <w:r>
        <w:t xml:space="preserve"> </w:t>
      </w:r>
      <w:r>
        <w:t xml:space="preserve">z-score values as slightly conservative rather than exact.</w:t>
      </w:r>
    </w:p>
    <w:p>
      <w:pPr>
        <w:pStyle w:val="BodyText"/>
      </w:pPr>
      <w:r>
        <w:rPr>
          <w:bCs/>
          <w:b/>
        </w:rPr>
        <w:t xml:space="preserve">Practical consequence</w:t>
      </w:r>
      <w:r>
        <w:t xml:space="preserve">: raw-magnitude comparisons across different batches, datasets, or</w:t>
      </w:r>
      <w:r>
        <w:t xml:space="preserve"> </w:t>
      </w:r>
      <w:r>
        <w:t xml:space="preserve">even across different timepoints within one dataset (since each timepoint draws from a</w:t>
      </w:r>
      <w:r>
        <w:t xml:space="preserve"> </w:t>
      </w:r>
      <w:r>
        <w:t xml:space="preserve">different null pool) should not be trusted at face value. Two reassurances for the main</w:t>
      </w:r>
      <w:r>
        <w:t xml:space="preserve"> </w:t>
      </w:r>
      <w:r>
        <w:t xml:space="preserve">study specifically:</w:t>
      </w:r>
    </w:p>
    <w:p>
      <w:pPr>
        <w:numPr>
          <w:ilvl w:val="0"/>
          <w:numId w:val="1003"/>
        </w:numPr>
        <w:pStyle w:val="Compact"/>
      </w:pPr>
      <w:r>
        <w:t xml:space="preserve">The manuscript’s existing published AED comparison (resistant genotypes vs Susceptible,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one fixed hpi) is</w:t>
      </w:r>
      <w:r>
        <w:t xml:space="preserve"> </w:t>
      </w:r>
      <w:r>
        <w:rPr>
          <w:bCs/>
          <w:b/>
        </w:rPr>
        <w:t xml:space="preserve">not affected</w:t>
      </w:r>
      <w:r>
        <w:t xml:space="preserve"> </w:t>
      </w:r>
      <w:r>
        <w:t xml:space="preserve">— those three genotypes share exactly the same</w:t>
      </w:r>
      <w:r>
        <w:t xml:space="preserve"> </w:t>
      </w:r>
      <w:r>
        <w:t xml:space="preserve">null distribution at that timepoint, so a z-score there would be a pure linear rescaling</w:t>
      </w:r>
      <w:r>
        <w:t xml:space="preserve"> </w:t>
      </w:r>
      <w:r>
        <w:t xml:space="preserve">and cannot change their relative ranking.</w:t>
      </w:r>
    </w:p>
    <w:p>
      <w:pPr>
        <w:numPr>
          <w:ilvl w:val="0"/>
          <w:numId w:val="1003"/>
        </w:numPr>
        <w:pStyle w:val="Compact"/>
      </w:pPr>
      <w:r>
        <w:t xml:space="preserve">Whether the manuscript’s own</w:t>
      </w:r>
      <w:r>
        <w:t xml:space="preserve"> </w:t>
      </w:r>
      <w:r>
        <w:rPr>
          <w:bCs/>
          <w:b/>
        </w:rPr>
        <w:t xml:space="preserve">across-hpi</w:t>
      </w:r>
      <w:r>
        <w:t xml:space="preserve"> </w:t>
      </w:r>
      <w:r>
        <w:t xml:space="preserve">comparisons (e.g. is 0hpi divergence bigger</w:t>
      </w:r>
      <w:r>
        <w:t xml:space="preserve"> </w:t>
      </w:r>
      <w:r>
        <w:t xml:space="preserve">than 24hpi divergence) are subject to the same distortion has not yet been checked, since</w:t>
      </w:r>
      <w:r>
        <w:t xml:space="preserve"> </w:t>
      </w:r>
      <w:r>
        <w:t xml:space="preserve">0/6/24hpi each draw from a different 12-sample null pool — flagged as an open follow-up.</w:t>
      </w:r>
    </w:p>
    <w:p>
      <w:pPr>
        <w:pStyle w:val="FirstParagraph"/>
      </w:pPr>
      <w:r>
        <w:t xml:space="preserve">Re-reading the cross-cultivar result in z-score terms (T0=2.20, T1=2.76, T4=2.22, T6=1.86)</w:t>
      </w:r>
      <w:r>
        <w:t xml:space="preserve"> </w:t>
      </w:r>
      <w:r>
        <w:t xml:space="preserve">sharpens rather than changes the conclusion: it now reads as</w:t>
      </w:r>
      <w:r>
        <w:t xml:space="preserve"> </w:t>
      </w:r>
      <w:r>
        <w:rPr>
          <w:iCs/>
          <w:i/>
        </w:rPr>
        <w:t xml:space="preserve">declining</w:t>
      </w:r>
      <w:r>
        <w:t xml:space="preserve"> </w:t>
      </w:r>
      <w:r>
        <w:t xml:space="preserve">after T1, not</w:t>
      </w:r>
      <w:r>
        <w:t xml:space="preserve"> </w:t>
      </w:r>
      <w:r>
        <w:t xml:space="preserve">merely bumpy — if anything, the opposite of a right-tail shift toward later developmental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One striking side-observation: Syrah’s within-cultivar background trajectory, which grows</w:t>
      </w:r>
      <w:r>
        <w:t xml:space="preserve"> </w:t>
      </w:r>
      <w:r>
        <w:t xml:space="preserve">roughly 7-fold in raw terms across its 10 measured intervals, is essentially</w:t>
      </w:r>
      <w:r>
        <w:t xml:space="preserve"> </w:t>
      </w:r>
      <w:r>
        <w:rPr>
          <w:bCs/>
          <w:b/>
        </w:rPr>
        <w:t xml:space="preserve">flat</w:t>
      </w:r>
      <w:r>
        <w:t xml:space="preserve"> </w:t>
      </w:r>
      <w:r>
        <w:t xml:space="preserve">in</w:t>
      </w:r>
      <w:r>
        <w:t xml:space="preserve"> </w:t>
      </w:r>
      <w:r>
        <w:t xml:space="preserve">z-score terms (approximately 2.8–2.9 throughout) — most of that raw growth is simply the</w:t>
      </w:r>
      <w:r>
        <w:t xml:space="preserve"> </w:t>
      </w:r>
      <w:r>
        <w:t xml:space="preserve">null/noise floor scaling up in step with it, not a distinctly growing</w:t>
      </w:r>
      <w:r>
        <w:t xml:space="preserve"> </w:t>
      </w:r>
      <w:r>
        <w:t xml:space="preserve">“</w:t>
      </w:r>
      <w:r>
        <w:t xml:space="preserve">extra</w:t>
      </w:r>
      <w:r>
        <w:t xml:space="preserve">”</w:t>
      </w:r>
      <w:r>
        <w:t xml:space="preserve"> </w:t>
      </w:r>
      <w:r>
        <w:t xml:space="preserve">signal.</w:t>
      </w:r>
    </w:p>
    <w:bookmarkEnd w:id="27"/>
    <w:bookmarkStart w:id="28" w:name="X9e3387fc809e300974eaf728c5c3b52669b9039"/>
    <w:p>
      <w:pPr>
        <w:pStyle w:val="Heading1"/>
      </w:pPr>
      <w:r>
        <w:t xml:space="preserve">7. Steepness: does divergence keep growing at later times?</w:t>
      </w:r>
    </w:p>
    <w:p>
      <w:pPr>
        <w:pStyle w:val="FirstParagraph"/>
      </w:pPr>
      <w:r>
        <w:t xml:space="preserve">The z-score (or fold-over-null) is the continuous measure of</w:t>
      </w:r>
      <w:r>
        <w:t xml:space="preserve"> </w:t>
      </w:r>
      <w:r>
        <w:t xml:space="preserve">“</w:t>
      </w:r>
      <w:r>
        <w:t xml:space="preserve">how far into the tail</w:t>
      </w:r>
      <w:r>
        <w:t xml:space="preserve">”</w:t>
      </w:r>
      <w:r>
        <w:t xml:space="preserve"> </w:t>
      </w:r>
      <w:r>
        <w:t xml:space="preserve">a real</w:t>
      </w:r>
      <w:r>
        <w:t xml:space="preserve"> </w:t>
      </w:r>
      <w:r>
        <w:t xml:space="preserve">comparison sits, and its</w:t>
      </w:r>
      <w:r>
        <w:t xml:space="preserve"> </w:t>
      </w:r>
      <w:r>
        <w:rPr>
          <w:bCs/>
          <w:b/>
        </w:rPr>
        <w:t xml:space="preserve">rate of change</w:t>
      </w:r>
      <w:r>
        <w:t xml:space="preserve"> </w:t>
      </w:r>
      <w:r>
        <w:t xml:space="preserve">across successive timepoints is the direct</w:t>
      </w:r>
      <w:r>
        <w:t xml:space="preserve"> </w:t>
      </w:r>
      <w:r>
        <w:t xml:space="preserve">quantitative form of</w:t>
      </w:r>
      <w:r>
        <w:t xml:space="preserve"> </w:t>
      </w:r>
      <w:r>
        <w:t xml:space="preserve">“</w:t>
      </w:r>
      <w:r>
        <w:t xml:space="preserve">does the shift become more pronounced at later times.</w:t>
      </w:r>
      <w:r>
        <w:t xml:space="preserve">”</w:t>
      </w:r>
    </w:p>
    <w:p>
      <w:pPr>
        <w:pStyle w:val="BodyText"/>
      </w:pPr>
      <w:r>
        <w:t xml:space="preserve">A first pass, averaging the z-score slope over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available intervals per series,</w:t>
      </w:r>
      <w:r>
        <w:t xml:space="preserve"> </w:t>
      </w:r>
      <w:r>
        <w:t xml:space="preserve">produced a misleading ranking: it was dominated by the trivial jump from each series’ own</w:t>
      </w:r>
      <w:r>
        <w:t xml:space="preserve"> </w:t>
      </w:r>
      <w:r>
        <w:t xml:space="preserve">(implicit) zero-divergence self-comparison baseline to its first real measurement — a jump</w:t>
      </w:r>
      <w:r>
        <w:t xml:space="preserve"> </w:t>
      </w:r>
      <w:r>
        <w:t xml:space="preserve">that is large for almost any real effect, essentially by construction, and which answers</w:t>
      </w:r>
      <w:r>
        <w:t xml:space="preserve"> </w:t>
      </w:r>
      <w:r>
        <w:t xml:space="preserve">“</w:t>
      </w:r>
      <w:r>
        <w:t xml:space="preserve">is</w:t>
      </w:r>
      <w:r>
        <w:t xml:space="preserve"> </w:t>
      </w:r>
      <w:r>
        <w:t xml:space="preserve">there an effect at all</w:t>
      </w:r>
      <w:r>
        <w:t xml:space="preserve">”</w:t>
      </w:r>
      <w:r>
        <w:t xml:space="preserve"> </w:t>
      </w:r>
      <w:r>
        <w:t xml:space="preserve">(yes, everywhere) rather than</w:t>
      </w:r>
      <w:r>
        <w:t xml:space="preserve"> </w:t>
      </w:r>
      <w:r>
        <w:t xml:space="preserve">“</w:t>
      </w:r>
      <w:r>
        <w:t xml:space="preserve">does it keep growing.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Corrected version</w:t>
      </w:r>
      <w:r>
        <w:t xml:space="preserve">, excluding that first, trivial interval (the cross-cultivar series was</w:t>
      </w:r>
      <w:r>
        <w:t xml:space="preserve"> </w:t>
      </w:r>
      <w:r>
        <w:t xml:space="preserve">unaffected, since its first point is already a real MV102-vs-MV32 comparison, not a</w:t>
      </w:r>
      <w:r>
        <w:t xml:space="preserve"> </w:t>
      </w:r>
      <w:r>
        <w:t xml:space="preserve">self-comparison):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z-score gained per stage (post-initial-jump)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Rpv12+1+3 (own study)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+0.42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(thin: n=8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Susceptible (own 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Rpv12 (own study)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~plateau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Cross-cultivar MV102 vs MV32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Syrah background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essentially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flat/slightly declining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flat/slightly declining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Rpv12+1 (own study)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−0.26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declining — partially reverts toward its own 0hpi baseline between 6h and 24h</w:t>
            </w:r>
          </w:p>
        </w:tc>
      </w:tr>
    </w:tbl>
    <w:p>
      <w:pPr>
        <w:pStyle w:val="BodyText"/>
      </w:pPr>
      <w:r>
        <w:t xml:space="preserve">This meaningfully revises the earlier reading: once genuine post-initial-response</w:t>
      </w:r>
      <w:r>
        <w:t xml:space="preserve"> </w:t>
      </w:r>
      <w:r>
        <w:t xml:space="preserve">acceleration is isolated, it is</w:t>
      </w:r>
      <w:r>
        <w:t xml:space="preserve"> </w:t>
      </w:r>
      <w:r>
        <w:rPr>
          <w:bCs/>
          <w:b/>
        </w:rPr>
        <w:t xml:space="preserve">Rpv12+1+3</w:t>
      </w:r>
      <w:r>
        <w:t xml:space="preserve">, not Rpv12, whose own-trajectory divergence</w:t>
      </w:r>
      <w:r>
        <w:t xml:space="preserve"> </w:t>
      </w:r>
      <w:r>
        <w:t xml:space="preserve">keeps growing from 6h to 24h; Rpv12 plateaus after its initial response; Rpv12+1 partially</w:t>
      </w:r>
      <w:r>
        <w:t xml:space="preserve"> </w:t>
      </w:r>
      <w:r>
        <w:t xml:space="preserve">reverts. This rests on a single 6h→24h slope per genotype (only two own-study timepoints</w:t>
      </w:r>
      <w:r>
        <w:t xml:space="preserve"> </w:t>
      </w:r>
      <w:r>
        <w:t xml:space="preserve">beyond baseline), so it is suggestive rather than strong evidence, but it is a genuinely new</w:t>
      </w:r>
      <w:r>
        <w:t xml:space="preserve"> </w:t>
      </w:r>
      <w:r>
        <w:t xml:space="preserve">observation not yet reflected in the manuscript. As noted in §6, the underlying z-scores</w:t>
      </w:r>
      <w:r>
        <w:t xml:space="preserve"> </w:t>
      </w:r>
      <w:r>
        <w:t xml:space="preserve">carry a mild self-inclusion conservatism that was not separately re-corrected for this</w:t>
      </w:r>
      <w:r>
        <w:t xml:space="preserve"> </w:t>
      </w:r>
      <w:r>
        <w:t xml:space="preserve">steepness calculation — an additional reason to treat this ranking as suggestive, not final.</w:t>
      </w:r>
    </w:p>
    <w:bookmarkEnd w:id="28"/>
    <w:bookmarkStart w:id="29" w:name="own-study-within-genotype-extension"/>
    <w:p>
      <w:pPr>
        <w:pStyle w:val="Heading1"/>
      </w:pPr>
      <w:r>
        <w:t xml:space="preserve">8. Own-study within-genotype extension</w:t>
      </w:r>
    </w:p>
    <w:p>
      <w:pPr>
        <w:pStyle w:val="FirstParagraph"/>
      </w:pPr>
      <w:r>
        <w:t xml:space="preserve">The same</w:t>
      </w:r>
      <w:r>
        <w:t xml:space="preserve"> </w:t>
      </w:r>
      <w:r>
        <w:t xml:space="preserve">“</w:t>
      </w:r>
      <w:r>
        <w:t xml:space="preserve">within-cultivar</w:t>
      </w:r>
      <w:r>
        <w:t xml:space="preserve">”</w:t>
      </w:r>
      <w:r>
        <w:t xml:space="preserve"> </w:t>
      </w:r>
      <w:r>
        <w:t xml:space="preserve">logic (a genotype compared only to its own earlier self) was</w:t>
      </w:r>
      <w:r>
        <w:t xml:space="preserve"> </w:t>
      </w:r>
      <w:r>
        <w:t xml:space="preserve">extended back into the core study’s own</w:t>
      </w:r>
      <w:r>
        <w:t xml:space="preserve"> </w:t>
      </w:r>
      <w:r>
        <w:rPr>
          <w:rStyle w:val="VerbatimChar"/>
        </w:rPr>
        <w:t xml:space="preserve">03_AED/</w:t>
      </w:r>
      <w:r>
        <w:t xml:space="preserve"> </w:t>
      </w:r>
      <w:r>
        <w:t xml:space="preserve">folder, using 0hpi as each genotype’s own</w:t>
      </w:r>
      <w:r>
        <w:t xml:space="preserve"> </w:t>
      </w:r>
      <w:r>
        <w:t xml:space="preserve">baseline — something the existing</w:t>
      </w:r>
      <w:r>
        <w:t xml:space="preserve"> </w:t>
      </w:r>
      <w:r>
        <w:rPr>
          <w:rStyle w:val="VerbatimChar"/>
        </w:rPr>
        <w:t xml:space="preserve">DGE_bySFandCB_divergence.R</w:t>
      </w:r>
      <w:r>
        <w:t xml:space="preserve"> </w:t>
      </w:r>
      <w:r>
        <w:t xml:space="preserve">never computed (it only</w:t>
      </w:r>
      <w:r>
        <w:t xml:space="preserve"> </w:t>
      </w:r>
      <w:r>
        <w:t xml:space="preserve">compares genotypes to Susceptible at a fixed timepoint, never a genotype’s own temporal</w:t>
      </w:r>
      <w:r>
        <w:t xml:space="preserve"> </w:t>
      </w:r>
      <w:r>
        <w:t xml:space="preserve">movement). Same statistic, same condition-protected ComBat correction already established as</w:t>
      </w:r>
      <w:r>
        <w:t xml:space="preserve"> </w:t>
      </w:r>
      <w:r>
        <w:t xml:space="preserve">preferred for this dataset, run for each of the four genotypes (Susceptible, Rpv12, Rpv12+1,</w:t>
      </w:r>
      <w:r>
        <w:t xml:space="preserve"> </w:t>
      </w:r>
      <w:r>
        <w:t xml:space="preserve">Rpv12+1+3) at 6hpi-vs-0hpi and 24hpi-vs-0hpi.</w:t>
      </w:r>
    </w:p>
    <w:p>
      <w:pPr>
        <w:pStyle w:val="BodyText"/>
      </w:pPr>
      <w:r>
        <w:t xml:space="preserve">Raw AggrDiv: Rpv12 (1.83, 1.77) &gt; Rpv12+1 (1.52, 0.995) &gt; Susceptible (0.35, 0.66) ≈</w:t>
      </w:r>
      <w:r>
        <w:t xml:space="preserve"> </w:t>
      </w:r>
      <w:r>
        <w:t xml:space="preserve">Rpv12+1+3 (0.32, 0.54). Once corrected for each test’s own noise floor (§6), Rpv12 and</w:t>
      </w:r>
      <w:r>
        <w:t xml:space="preserve"> </w:t>
      </w:r>
      <w:r>
        <w:t xml:space="preserve">Rpv12+1 are essentially tied (z ≈ 2.7–2.9 and 2.5–2.7 respectively), and Rpv12+1+3 is not</w:t>
      </w:r>
      <w:r>
        <w:t xml:space="preserve"> </w:t>
      </w:r>
      <w:r>
        <w:t xml:space="preserve">nearly as damped as its raw numbers suggested — it simply has the lowest noise floor of the</w:t>
      </w:r>
      <w:r>
        <w:t xml:space="preserve"> </w:t>
      </w:r>
      <w:r>
        <w:t xml:space="preserve">four genotypes. The steepness analysis (§7) adds a further layer: among these four, only</w:t>
      </w:r>
      <w:r>
        <w:t xml:space="preserve"> </w:t>
      </w:r>
      <w:r>
        <w:t xml:space="preserve">Rpv12+1+3 (and, more modestly, Susceptible) shows divergence still growing from 6h to 24h;</w:t>
      </w:r>
      <w:r>
        <w:t xml:space="preserve"> </w:t>
      </w:r>
      <w:r>
        <w:t xml:space="preserve">Rpv12 plateaus; Rpv12+1 partially reverts.</w:t>
      </w:r>
    </w:p>
    <w:bookmarkEnd w:id="29"/>
    <w:bookmarkStart w:id="30" w:name="Xea043b5510b6b6e91af583e9ac420cb02dca0dc"/>
    <w:p>
      <w:pPr>
        <w:pStyle w:val="Heading1"/>
      </w:pPr>
      <w:r>
        <w:t xml:space="preserve">9. Gene concentration: how many genes explain the divergence?</w:t>
      </w:r>
    </w:p>
    <w:p>
      <w:pPr>
        <w:pStyle w:val="FirstParagraph"/>
      </w:pPr>
      <w:r>
        <w:t xml:space="preserve">For every test in the Shi2024 battery, the own-study within-genotype extension,</w:t>
      </w:r>
      <w:r>
        <w:t xml:space="preserve"> </w:t>
      </w:r>
      <w:r>
        <w:rPr>
          <w:bCs/>
          <w:b/>
        </w:rPr>
        <w:t xml:space="preserve">and the</w:t>
      </w:r>
      <w:r>
        <w:rPr>
          <w:bCs/>
          <w:b/>
        </w:rPr>
        <w:t xml:space="preserve"> </w:t>
      </w:r>
      <w:r>
        <w:rPr>
          <w:bCs/>
          <w:b/>
        </w:rPr>
        <w:t xml:space="preserve">main study’s own original, published cross-genotype AED comparisons</w:t>
      </w:r>
      <w:r>
        <w:t xml:space="preserve"> </w:t>
      </w:r>
      <w:r>
        <w:t xml:space="preserve">(resistant genotype</w:t>
      </w:r>
      <w:r>
        <w:t xml:space="preserve"> </w:t>
      </w:r>
      <w:r>
        <w:t xml:space="preserve">vs Susceptible, at each of 0/6/24hpi — the manuscript’s actual headline AED result, added to</w:t>
      </w:r>
      <w:r>
        <w:t xml:space="preserve"> </w:t>
      </w:r>
      <w:r>
        <w:t xml:space="preserve">this combined table on request; 45 tests in total), genes were ranked by their contribution</w:t>
      </w:r>
      <w:r>
        <w:t xml:space="preserve"> </w:t>
      </w:r>
      <w:r>
        <w:t xml:space="preserve">to the total AggrDiv sum-of-squares, and the number needed to reach each of several</w:t>
      </w:r>
      <w:r>
        <w:t xml:space="preserve"> </w:t>
      </w:r>
      <w:r>
        <w:t xml:space="preserve">cumulative thresholds was recorded: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Cumulative fraction of total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genes needed (range across all 45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 – 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 – 16.0%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 – 19.2%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 – 31.1%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 – 42.9%</w:t>
            </w:r>
          </w:p>
        </w:tc>
      </w:tr>
    </w:tbl>
    <w:p>
      <w:pPr>
        <w:pStyle w:val="BodyText"/>
      </w:pPr>
      <w:r>
        <w:t xml:space="preserve">This is remarkably consistent regardless of dataset, batch, or the underlying biology being</w:t>
      </w:r>
      <w:r>
        <w:t xml:space="preserve"> </w:t>
      </w:r>
      <w:r>
        <w:t xml:space="preserve">compared (developmental time, genotype background, or induced infection response) —</w:t>
      </w:r>
      <w:r>
        <w:t xml:space="preserve"> </w:t>
      </w:r>
      <w:r>
        <w:t xml:space="preserve">including the manuscript’s own original cross-genotype result, which falls squarely within</w:t>
      </w:r>
      <w:r>
        <w:t xml:space="preserve"> </w:t>
      </w:r>
      <w:r>
        <w:t xml:space="preserve">the same range as every independent Shi2024/within-genotype test. This reinforces the</w:t>
      </w:r>
      <w:r>
        <w:t xml:space="preserve"> </w:t>
      </w:r>
      <w:r>
        <w:t xml:space="preserve">“</w:t>
      </w:r>
      <w:r>
        <w:t xml:space="preserve">few</w:t>
      </w:r>
      <w:r>
        <w:t xml:space="preserve"> </w:t>
      </w:r>
      <w:r>
        <w:t xml:space="preserve">genes, not many small changes</w:t>
      </w:r>
      <w:r>
        <w:t xml:space="preserve">”</w:t>
      </w:r>
      <w:r>
        <w:t xml:space="preserve"> </w:t>
      </w:r>
      <w:r>
        <w:t xml:space="preserve">pattern already established elsewhere in this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03_AED/AED_top_contributing_genes_significant_cells.csv</w:t>
      </w:r>
      <w:r>
        <w:t xml:space="preserve">). The consistency across 45</w:t>
      </w:r>
      <w:r>
        <w:t xml:space="preserve"> </w:t>
      </w:r>
      <w:r>
        <w:t xml:space="preserve">otherwise very different tests, spanning three independent original studies plus the main</w:t>
      </w:r>
      <w:r>
        <w:t xml:space="preserve"> </w:t>
      </w:r>
      <w:r>
        <w:t xml:space="preserve">study’s own published result, is itself a modest, positive, cross-validating result.</w:t>
      </w:r>
      <w:r>
        <w:t xml:space="preserve"> </w:t>
      </w:r>
      <w:r>
        <w:t xml:space="preserve">Full combined table:</w:t>
      </w:r>
      <w:r>
        <w:t xml:space="preserve"> </w:t>
      </w:r>
      <w:r>
        <w:rPr>
          <w:rStyle w:val="VerbatimChar"/>
        </w:rPr>
        <w:t xml:space="preserve">03_AED/AED_check_results/AED_gene_concentration_extended_combined.csv</w:t>
      </w:r>
      <w:r>
        <w:t xml:space="preserve">.</w:t>
      </w:r>
    </w:p>
    <w:bookmarkEnd w:id="30"/>
    <w:bookmarkStart w:id="31" w:name="X8061024c0afddcbcf59cb2addf57b22365e85a6"/>
    <w:p>
      <w:pPr>
        <w:pStyle w:val="Heading1"/>
      </w:pPr>
      <w:r>
        <w:t xml:space="preserve">10. Chitarrini2020 brought to parity, and a summarizing table across all three studies</w:t>
      </w:r>
    </w:p>
    <w:p>
      <w:pPr>
        <w:pStyle w:val="FirstParagraph"/>
      </w:pPr>
      <w:r>
        <w:t xml:space="preserve">Chitarrini et al. 2020’s reprocessing (</w:t>
      </w:r>
      <w:r>
        <w:rPr>
          <w:rStyle w:val="VerbatimChar"/>
        </w:rPr>
        <w:t xml:space="preserve">Chitarrini2020/</w:t>
      </w:r>
      <w:r>
        <w:t xml:space="preserve">) previously only had the original</w:t>
      </w:r>
      <w:r>
        <w:t xml:space="preserve"> </w:t>
      </w:r>
      <w:r>
        <w:t xml:space="preserve">3 cross-condition tests (inoculated vs mock, at 0/12/24hpi). It was missing the same</w:t>
      </w:r>
      <w:r>
        <w:t xml:space="preserve"> </w:t>
      </w:r>
      <w:r>
        <w:t xml:space="preserve">within-condition temporal technique built for Shi2024 and the own study — how does</w:t>
      </w:r>
      <w:r>
        <w:t xml:space="preserve"> </w:t>
      </w:r>
      <w:r>
        <w:t xml:space="preserve">expression drift across its own time course, within one condition only. Two new series were</w:t>
      </w:r>
      <w:r>
        <w:t xml:space="preserve"> </w:t>
      </w:r>
      <w:r>
        <w:t xml:space="preserve">added (</w:t>
      </w:r>
      <w:r>
        <w:rPr>
          <w:rStyle w:val="VerbatimChar"/>
        </w:rPr>
        <w:t xml:space="preserve">Chitarrini2020/AED_within_condition_temporal.R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within_mock</w:t>
      </w:r>
      <w:r>
        <w:t xml:space="preserve"> </w:t>
      </w:r>
      <w:r>
        <w:t xml:space="preserve">(pathogen-free background, 0h baseline vs 12/24/48/96/120h): the</w:t>
      </w:r>
      <w:r>
        <w:t xml:space="preserve"> </w:t>
      </w:r>
      <w:r>
        <w:t xml:space="preserve">Chitarrini analog of Shi2024’s Syrah background.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within_inoculated</w:t>
      </w:r>
      <w:r>
        <w:t xml:space="preserve"> </w:t>
      </w:r>
      <w:r>
        <w:t xml:space="preserve">(infected transcriptome’s own trajectory, 12h baseline — the</w:t>
      </w:r>
      <w:r>
        <w:t xml:space="preserve"> </w:t>
      </w:r>
      <w:r>
        <w:t xml:space="preserve">earliest available inoculated timepoint — vs 24/48/96h): the Chitarrini analog of the own</w:t>
      </w:r>
      <w:r>
        <w:t xml:space="preserve"> </w:t>
      </w:r>
      <w:r>
        <w:t xml:space="preserve">study’s within-genotype extension.</w:t>
      </w:r>
    </w:p>
    <w:p>
      <w:pPr>
        <w:pStyle w:val="FirstParagraph"/>
      </w:pPr>
      <w:r>
        <w:rPr>
          <w:bCs/>
          <w:b/>
        </w:rPr>
        <w:t xml:space="preserve">A second data-completeness issue was caught while building this</w:t>
      </w:r>
      <w:r>
        <w:t xml:space="preserve">, the same way the</w:t>
      </w:r>
      <w:r>
        <w:t xml:space="preserve"> </w:t>
      </w:r>
      <w:r>
        <w:t xml:space="preserve">Shi2024 gap was caught earlier: the reprocessed Chitarrini count matrix has only</w:t>
      </w:r>
      <w:r>
        <w:t xml:space="preserve"> </w:t>
      </w:r>
      <w:r>
        <w:rPr>
          <w:bCs/>
          <w:b/>
        </w:rPr>
        <w:t xml:space="preserve">29 of the</w:t>
      </w:r>
      <w:r>
        <w:rPr>
          <w:bCs/>
          <w:b/>
        </w:rPr>
        <w:t xml:space="preserve"> </w:t>
      </w:r>
      <w:r>
        <w:rPr>
          <w:bCs/>
          <w:b/>
        </w:rPr>
        <w:t xml:space="preserve">expected 33 samples</w:t>
      </w:r>
      <w:r>
        <w:t xml:space="preserve">, not 33 (a</w:t>
      </w:r>
      <w:r>
        <w:t xml:space="preserve"> </w:t>
      </w:r>
      <w:r>
        <w:rPr>
          <w:rStyle w:val="VerbatimChar"/>
        </w:rPr>
        <w:t xml:space="preserve">stopifnot()</w:t>
      </w:r>
      <w:r>
        <w:t xml:space="preserve"> </w:t>
      </w:r>
      <w:r>
        <w:t xml:space="preserve">failed before anything was computed). All 4</w:t>
      </w:r>
      <w:r>
        <w:t xml:space="preserve"> </w:t>
      </w:r>
      <w:r>
        <w:t xml:space="preserve">missing accessions are at 120hpi: mock@120h drops to n=2, inoculated@120h drops to</w:t>
      </w:r>
      <w:r>
        <w:t xml:space="preserve"> </w:t>
      </w:r>
      <w:r>
        <w:rPr>
          <w:bCs/>
          <w:b/>
        </w:rPr>
        <w:t xml:space="preserve">n=0</w:t>
      </w:r>
      <w:r>
        <w:t xml:space="preserve"> </w:t>
      </w:r>
      <w:r>
        <w:t xml:space="preserve">(zero samples, not merely underpowered). This was invisible in the original 3-test script,</w:t>
      </w:r>
      <w:r>
        <w:t xml:space="preserve"> </w:t>
      </w:r>
      <w:r>
        <w:t xml:space="preserve">which never used 120hpi data at all — the within-condition battery is the first analysis on</w:t>
      </w:r>
      <w:r>
        <w:t xml:space="preserve"> </w:t>
      </w:r>
      <w:r>
        <w:t xml:space="preserve">this dataset to reach that far. Inoculated@120h was excluded outright (a group of size 0</w:t>
      </w:r>
      <w:r>
        <w:t xml:space="preserve"> </w:t>
      </w:r>
      <w:r>
        <w:t xml:space="preserve">cannot produce a mean); mock@120h was kept at n=2 with the usual underpowered flag.</w:t>
      </w:r>
    </w:p>
    <w:p>
      <w:pPr>
        <w:pStyle w:val="BodyText"/>
      </w:pPr>
      <w:r>
        <w:rPr>
          <w:bCs/>
          <w:b/>
        </w:rPr>
        <w:t xml:space="preserve">A separate, more consequential bug was caught and fixed</w:t>
      </w:r>
      <w:r>
        <w:t xml:space="preserve"> </w:t>
      </w:r>
      <w:r>
        <w:t xml:space="preserve">while folding the manuscript’s</w:t>
      </w:r>
      <w:r>
        <w:t xml:space="preserve"> </w:t>
      </w:r>
      <w:r>
        <w:t xml:space="preserve">own original published cross-genotype tests (Rpv12/Rpv12+1/Rpv12+1+3 vs Susceptible,</w:t>
      </w:r>
      <w:r>
        <w:t xml:space="preserve"> </w:t>
      </w:r>
      <w:r>
        <w:t xml:space="preserve">0/6/24hpi, protected-ComBat — the actual figure Reviewer 1 flagged as hard to interpret)</w:t>
      </w:r>
      <w:r>
        <w:t xml:space="preserve"> </w:t>
      </w:r>
      <w:r>
        <w:t xml:space="preserve">into this combined framework. The comparability z-scores for these 9 tests were initially</w:t>
      </w:r>
      <w:r>
        <w:t xml:space="preserve"> </w:t>
      </w:r>
      <w:r>
        <w:t xml:space="preserve">computed against the wrong null:</w:t>
      </w:r>
      <w:r>
        <w:t xml:space="preserve"> </w:t>
      </w:r>
      <w:r>
        <w:rPr>
          <w:rStyle w:val="VerbatimChar"/>
        </w:rPr>
        <w:t xml:space="preserve">DGE_bySFandCB_divergence.R</w:t>
      </w:r>
      <w:r>
        <w:t xml:space="preserve"> </w:t>
      </w:r>
      <w:r>
        <w:t xml:space="preserve">only ever saved the</w:t>
      </w:r>
      <w:r>
        <w:t xml:space="preserve"> </w:t>
      </w:r>
      <w:r>
        <w:rPr>
          <w:bCs/>
          <w:b/>
        </w:rPr>
        <w:t xml:space="preserve">unprotected</w:t>
      </w:r>
      <w:r>
        <w:t xml:space="preserve">-ComBat null to disk, but the manuscript’s published values use the</w:t>
      </w:r>
      <w:r>
        <w:t xml:space="preserve"> </w:t>
      </w:r>
      <w:r>
        <w:rPr>
          <w:bCs/>
          <w:b/>
        </w:rPr>
        <w:t xml:space="preserve">protected</w:t>
      </w:r>
      <w:r>
        <w:t xml:space="preserve">-ComBat correction — comparing protected values against an unprotected null is</w:t>
      </w:r>
      <w:r>
        <w:t xml:space="preserve"> </w:t>
      </w:r>
      <w:r>
        <w:t xml:space="preserve">a real mismatch, not just an approximation. This was caught because the self-inclusion check</w:t>
      </w:r>
      <w:r>
        <w:t xml:space="preserve"> </w:t>
      </w:r>
      <w:r>
        <w:t xml:space="preserve">(§6) found 0 self-matches for exactly these 9 tests, where every other test in the project</w:t>
      </w:r>
      <w:r>
        <w:t xml:space="preserve"> </w:t>
      </w:r>
      <w:r>
        <w:t xml:space="preserve">found exactly 1 — a discrepancy that shouldn’t happen if the null were correct. Fixed by</w:t>
      </w:r>
      <w:r>
        <w:t xml:space="preserve"> </w:t>
      </w:r>
      <w:r>
        <w:t xml:space="preserve">recomputing and saving the actual protected-ComBat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AED_recompute_protected_null.R</w:t>
      </w:r>
      <w:r>
        <w:t xml:space="preserve">) and re-pointing every downstream script at it; all 9 now</w:t>
      </w:r>
      <w:r>
        <w:t xml:space="preserve"> </w:t>
      </w:r>
      <w:r>
        <w:t xml:space="preserve">show the expected 1 self-match. One reassuring side-effect of the fix:</w:t>
      </w:r>
      <w:r>
        <w:t xml:space="preserve"> </w:t>
      </w:r>
      <w:r>
        <w:rPr>
          <w:bCs/>
          <w:b/>
        </w:rPr>
        <w:t xml:space="preserve">Rpv12@6hpi</w:t>
      </w:r>
      <w:r>
        <w:t xml:space="preserve">, the</w:t>
      </w:r>
      <w:r>
        <w:t xml:space="preserve"> </w:t>
      </w:r>
      <w:r>
        <w:t xml:space="preserve">one test in the manuscript’s own AED table that was never significant, now shows a</w:t>
      </w:r>
      <w:r>
        <w:t xml:space="preserve"> </w:t>
      </w:r>
      <w:r>
        <w:t xml:space="preserve">correspondingly low z-score (0.63 — the lowest of all 55 tests in this entire combined</w:t>
      </w:r>
      <w:r>
        <w:t xml:space="preserve"> </w:t>
      </w:r>
      <w:r>
        <w:t xml:space="preserve">analysis), while every other test clusters around z≈2–3. That’s exactly the pattern a</w:t>
      </w:r>
      <w:r>
        <w:t xml:space="preserve"> </w:t>
      </w:r>
      <w:r>
        <w:t xml:space="preserve">correctly-computed comparability metric should produce, and is a reassuring cross-check of</w:t>
      </w:r>
      <w:r>
        <w:t xml:space="preserve"> </w:t>
      </w:r>
      <w:r>
        <w:t xml:space="preserve">the method as a whole, independent of any particular biological claim.</w:t>
      </w:r>
    </w:p>
    <w:p>
      <w:pPr>
        <w:pStyle w:val="BodyText"/>
      </w:pPr>
      <w:r>
        <w:rPr>
          <w:bCs/>
          <w:b/>
        </w:rPr>
        <w:t xml:space="preserve">Summarizing table</w:t>
      </w:r>
      <w:r>
        <w:t xml:space="preserve">, one row per series/condition across all three studies plus the</w:t>
      </w:r>
      <w:r>
        <w:t xml:space="preserve"> </w:t>
      </w:r>
      <w:r>
        <w:t xml:space="preserve">manuscript’s own original result (55 individual tests underlying 15 series total; full CSV:</w:t>
      </w:r>
      <w:r>
        <w:t xml:space="preserve"> </w:t>
      </w:r>
      <w:r>
        <w:rPr>
          <w:rStyle w:val="VerbatimChar"/>
        </w:rPr>
        <w:t xml:space="preserve">03_AED/AED_check_results/AED_summary_table_all_studies.csv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Steepness (post-jump)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genes for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in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Chitarrini2020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cross_condition inoc-vs-mock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1.82–2.23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13.5–14.0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Chitarrini2020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within_inoculated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2.66–2.84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15.4–17.2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Chitarrini2020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within_mock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2.53–2.86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15.2–18.0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cross_genotype Rpv12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0.63–3.02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11.3–12.4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reverting toward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cross_genotype Rpv12+1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0.95–2.23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9.9–12.5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cross_genotype Rpv12+1+3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2.01–2.72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11.4–12.2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Rpv12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2.73–2.86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10.7–16.0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Rpv12+1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2.48–2.74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13.1–13.9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reverting toward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Rpv12+1+3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2.03–2.45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13.2–14.3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Susceptible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1.95–2.23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13.1–14.6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cross_cultivar MV102-vs-MV32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1.86–2.76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9.8–11.8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within_G5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2.39–2.80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12.5–13.9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over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within_MV102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2.54–2.89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10.6–13.9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within_MV32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1.91–2.13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11.9–15.5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within_Syrah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2.83–2.91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11.9–15.2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plateau / flat</w:t>
            </w:r>
          </w:p>
        </w:tc>
      </w:tr>
    </w:tbl>
    <w:p>
      <w:pPr>
        <w:pStyle w:val="BodyText"/>
      </w:pPr>
      <w:r>
        <w:t xml:space="preserve">Across all 15 series,</w:t>
      </w:r>
      <w:r>
        <w:t xml:space="preserve"> </w:t>
      </w:r>
      <w:r>
        <w:rPr>
          <w:bCs/>
          <w:b/>
        </w:rPr>
        <w:t xml:space="preserve">9.8–18.0% of genes explain 75% of the total divergence</w:t>
      </w:r>
      <w:r>
        <w:t xml:space="preserve"> </w:t>
      </w:r>
      <w:r>
        <w:t xml:space="preserve">— every</w:t>
      </w:r>
      <w:r>
        <w:t xml:space="preserve"> </w:t>
      </w:r>
      <w:r>
        <w:t xml:space="preserve">series, every dataset, every biological process (induced infection, developmental time, or</w:t>
      </w:r>
      <w:r>
        <w:t xml:space="preserve"> </w:t>
      </w:r>
      <w:r>
        <w:t xml:space="preserve">constitutive background), lands in essentially the same narrow band. This table is the</w:t>
      </w:r>
      <w:r>
        <w:t xml:space="preserve"> </w:t>
      </w:r>
      <w:r>
        <w:t xml:space="preserve">single clearest expression of the</w:t>
      </w:r>
      <w:r>
        <w:t xml:space="preserve"> </w:t>
      </w:r>
      <w:r>
        <w:t xml:space="preserve">“</w:t>
      </w:r>
      <w:r>
        <w:t xml:space="preserve">coordinated, real biology, not noise</w:t>
      </w:r>
      <w:r>
        <w:t xml:space="preserve">”</w:t>
      </w:r>
      <w:r>
        <w:t xml:space="preserve"> </w:t>
      </w:r>
      <w:r>
        <w:t xml:space="preserve">argument: it is not</w:t>
      </w:r>
      <w:r>
        <w:t xml:space="preserve"> </w:t>
      </w:r>
      <w:r>
        <w:t xml:space="preserve">one number from one figure, it is the same structural signature recurring independently 15</w:t>
      </w:r>
      <w:r>
        <w:t xml:space="preserve"> </w:t>
      </w:r>
      <w:r>
        <w:t xml:space="preserve">times.</w:t>
      </w:r>
    </w:p>
    <w:bookmarkEnd w:id="31"/>
    <w:bookmarkStart w:id="32" w:name="X34bd6f21fbdedfbfa012073c529c216f8670973"/>
    <w:p>
      <w:pPr>
        <w:pStyle w:val="Heading1"/>
      </w:pPr>
      <w:r>
        <w:t xml:space="preserve">11. Open discussion: a better AED figure for the manuscript</w:t>
      </w:r>
    </w:p>
    <w:p>
      <w:pPr>
        <w:pStyle w:val="FirstParagraph"/>
      </w:pPr>
      <w:r>
        <w:t xml:space="preserve">Reviewer 1 found the manuscript’s current AED figure difficult to interpret. The user’s</w:t>
      </w:r>
      <w:r>
        <w:t xml:space="preserve"> </w:t>
      </w:r>
      <w:r>
        <w:t xml:space="preserve">framing of what the AED measure should communicate: that the observed changes are</w:t>
      </w:r>
      <w:r>
        <w:t xml:space="preserve"> </w:t>
      </w:r>
      <w:r>
        <w:rPr>
          <w:bCs/>
          <w:b/>
        </w:rPr>
        <w:t xml:space="preserve">coordinated, real biology, not noise</w:t>
      </w:r>
      <w:r>
        <w:t xml:space="preserve">, that they show</w:t>
      </w:r>
      <w:r>
        <w:t xml:space="preserve"> </w:t>
      </w:r>
      <w:r>
        <w:rPr>
          <w:bCs/>
          <w:b/>
        </w:rPr>
        <w:t xml:space="preserve">different patterns in time</w:t>
      </w:r>
      <w:r>
        <w:t xml:space="preserve"> </w:t>
      </w:r>
      <w:r>
        <w:t xml:space="preserve">across genotypes/conditions, and that this can be made concrete by</w:t>
      </w:r>
      <w:r>
        <w:t xml:space="preserve"> </w:t>
      </w:r>
      <w:r>
        <w:rPr>
          <w:bCs/>
          <w:b/>
        </w:rPr>
        <w:t xml:space="preserve">highlighting the</w:t>
      </w:r>
      <w:r>
        <w:rPr>
          <w:bCs/>
          <w:b/>
        </w:rPr>
        <w:t xml:space="preserve"> </w:t>
      </w:r>
      <w:r>
        <w:rPr>
          <w:bCs/>
          <w:b/>
        </w:rPr>
        <w:t xml:space="preserve">proportion of genes explaining 75% of the variance</w:t>
      </w:r>
      <w:r>
        <w:t xml:space="preserve">. This is under active discussion, not</w:t>
      </w:r>
      <w:r>
        <w:t xml:space="preserve"> </w:t>
      </w:r>
      <w:r>
        <w:t xml:space="preserve">yet resolved. §10’s summarizing table and the corrected z-score/steepness framework above</w:t>
      </w:r>
      <w:r>
        <w:t xml:space="preserve"> </w:t>
      </w:r>
      <w:r>
        <w:t xml:space="preserve">are the raw material for that redesign — every ingredient the reviewer would need (a</w:t>
      </w:r>
      <w:r>
        <w:t xml:space="preserve"> </w:t>
      </w:r>
      <w:r>
        <w:t xml:space="preserve">noise-floor-corrected magnitude, a time-pattern classification, and a gene-concentration</w:t>
      </w:r>
      <w:r>
        <w:t xml:space="preserve"> </w:t>
      </w:r>
      <w:r>
        <w:t xml:space="preserve">figure) now exists consistently across all three datasets and is ready to be turned into a</w:t>
      </w:r>
      <w:r>
        <w:t xml:space="preserve"> </w:t>
      </w:r>
      <w:r>
        <w:t xml:space="preserve">single, clearer figure once a design is chosen.</w:t>
      </w:r>
    </w:p>
    <w:bookmarkEnd w:id="32"/>
    <w:bookmarkStart w:id="33" w:name="bottom-line"/>
    <w:p>
      <w:pPr>
        <w:pStyle w:val="Heading1"/>
      </w:pPr>
      <w:r>
        <w:t xml:space="preserve">12. Bottom line</w:t>
      </w:r>
    </w:p>
    <w:p>
      <w:pPr>
        <w:pStyle w:val="FirstParagraph"/>
      </w:pPr>
      <w:r>
        <w:t xml:space="preserve">This reprocessing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provide a clean, citable</w:t>
      </w:r>
      <w:r>
        <w:t xml:space="preserve"> </w:t>
      </w:r>
      <w:r>
        <w:t xml:space="preserve">“</w:t>
      </w:r>
      <w:r>
        <w:t xml:space="preserve">AED is elevated and shifted toward</w:t>
      </w:r>
      <w:r>
        <w:t xml:space="preserve"> </w:t>
      </w:r>
      <w:r>
        <w:t xml:space="preserve">the right tail with time in the RUN1/RPV1 carrier</w:t>
      </w:r>
      <w:r>
        <w:t xml:space="preserve">”</w:t>
      </w:r>
      <w:r>
        <w:t xml:space="preserve"> </w:t>
      </w:r>
      <w:r>
        <w:t xml:space="preserve">result. The honest reading is</w:t>
      </w:r>
      <w:r>
        <w:t xml:space="preserve"> </w:t>
      </w:r>
      <w:r>
        <w:t xml:space="preserve">inconclusive-to-negative on the magnitude/trend question for the cross-cultivar comparison</w:t>
      </w:r>
      <w:r>
        <w:t xml:space="preserve"> </w:t>
      </w:r>
      <w:r>
        <w:t xml:space="preserve">specifically — and that comparison, being between healthy, unchallenged plants with no</w:t>
      </w:r>
      <w:r>
        <w:t xml:space="preserve"> </w:t>
      </w:r>
      <w:r>
        <w:t xml:space="preserve">shared pre-treatment baseline, was never actually equipped to test the same</w:t>
      </w:r>
      <w:r>
        <w:t xml:space="preserve"> </w:t>
      </w:r>
      <w:r>
        <w:t xml:space="preserve">“</w:t>
      </w:r>
      <w:r>
        <w:t xml:space="preserve">induced,</w:t>
      </w:r>
      <w:r>
        <w:t xml:space="preserve"> </w:t>
      </w:r>
      <w:r>
        <w:t xml:space="preserve">time-dependent divergence</w:t>
      </w:r>
      <w:r>
        <w:t xml:space="preserve">”</w:t>
      </w:r>
      <w:r>
        <w:t xml:space="preserve"> </w:t>
      </w:r>
      <w:r>
        <w:t xml:space="preserve">hypothesis as the main study’s hours-post-inoculation design in</w:t>
      </w:r>
      <w:r>
        <w:t xml:space="preserve"> </w:t>
      </w:r>
      <w:r>
        <w:t xml:space="preserve">the first place.</w:t>
      </w:r>
    </w:p>
    <w:p>
      <w:pPr>
        <w:pStyle w:val="BodyText"/>
      </w:pPr>
      <w:r>
        <w:t xml:space="preserve">What this analysis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corroborate: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few genes, not many small changes</w:t>
      </w:r>
      <w:r>
        <w:t xml:space="preserve">”</w:t>
      </w:r>
      <w:r>
        <w:t xml:space="preserve"> </w:t>
      </w:r>
      <w:r>
        <w:t xml:space="preserve">concentration pattern, very consistently, across</w:t>
      </w:r>
      <w:r>
        <w:t xml:space="preserve"> </w:t>
      </w:r>
      <w:r>
        <w:t xml:space="preserve">55 tests (15 series) spanning three independent original studies, the manuscript’s own</w:t>
      </w:r>
      <w:r>
        <w:t xml:space="preserve"> </w:t>
      </w:r>
      <w:r>
        <w:t xml:space="preserve">original result, and completely different underlying biology (§10).</w:t>
      </w:r>
    </w:p>
    <w:p>
      <w:pPr>
        <w:numPr>
          <w:ilvl w:val="0"/>
          <w:numId w:val="1005"/>
        </w:numPr>
        <w:pStyle w:val="Compact"/>
      </w:pPr>
      <w:r>
        <w:t xml:space="preserve">A revised (post-noise-floor-correction, post-initial-jump) within-genotype observation in</w:t>
      </w:r>
      <w:r>
        <w:t xml:space="preserve"> </w:t>
      </w:r>
      <w:r>
        <w:t xml:space="preserve">the main study itself:</w:t>
      </w:r>
      <w:r>
        <w:t xml:space="preserve"> </w:t>
      </w:r>
      <w:r>
        <w:rPr>
          <w:bCs/>
          <w:b/>
        </w:rPr>
        <w:t xml:space="preserve">Rpv12+1+3’s own-trajectory divergence keeps growing from 6h to</w:t>
      </w:r>
      <w:r>
        <w:rPr>
          <w:bCs/>
          <w:b/>
        </w:rPr>
        <w:t xml:space="preserve"> </w:t>
      </w:r>
      <w:r>
        <w:rPr>
          <w:bCs/>
          <w:b/>
        </w:rPr>
        <w:t xml:space="preserve">24h, while Rpv12 plateaus and Rpv12+1 partially reverts</w:t>
      </w:r>
      <w:r>
        <w:t xml:space="preserve"> </w:t>
      </w:r>
      <w:r>
        <w:t xml:space="preserve">— a new, not-yet-written-up</w:t>
      </w:r>
      <w:r>
        <w:t xml:space="preserve"> </w:t>
      </w:r>
      <w:r>
        <w:t xml:space="preserve">finding worth considering for the manuscript, with the caveat that it rests on a single</w:t>
      </w:r>
      <w:r>
        <w:t xml:space="preserve"> </w:t>
      </w:r>
      <w:r>
        <w:t xml:space="preserve">slope per genotype.</w:t>
      </w:r>
    </w:p>
    <w:p>
      <w:pPr>
        <w:numPr>
          <w:ilvl w:val="0"/>
          <w:numId w:val="1005"/>
        </w:numPr>
        <w:pStyle w:val="Compact"/>
      </w:pPr>
      <w:r>
        <w:t xml:space="preserve">The pre-existing</w:t>
      </w:r>
      <w:r>
        <w:t xml:space="preserve"> </w:t>
      </w:r>
      <w:r>
        <w:t xml:space="preserve">“</w:t>
      </w:r>
      <w:r>
        <w:t xml:space="preserve">backgrounds are not strictly isogenic</w:t>
      </w:r>
      <w:r>
        <w:t xml:space="preserve">”</w:t>
      </w:r>
      <w:r>
        <w:t xml:space="preserve"> </w:t>
      </w:r>
      <w:r>
        <w:t xml:space="preserve">caveat in the main study’s</w:t>
      </w:r>
      <w:r>
        <w:t xml:space="preserve"> </w:t>
      </w:r>
      <w:r>
        <w:t xml:space="preserve">Limitations, via an independent, non-isogenic constitutive-divergence data point.</w:t>
      </w:r>
    </w:p>
    <w:bookmarkEnd w:id="33"/>
    <w:bookmarkStart w:id="34" w:name="appendix-scripts-and-outputs"/>
    <w:p>
      <w:pPr>
        <w:pStyle w:val="Heading1"/>
      </w:pPr>
      <w:r>
        <w:t xml:space="preserve">Appendix: scripts and outputs</w:t>
      </w:r>
    </w:p>
    <w:p>
      <w:pPr>
        <w:pStyle w:val="FirstParagraph"/>
      </w:pPr>
      <w:r>
        <w:t xml:space="preserve">All analysis is reproducible from the following scripts, run in order. None of this</w:t>
      </w:r>
      <w:r>
        <w:t xml:space="preserve"> </w:t>
      </w:r>
      <w:r>
        <w:t xml:space="preserve">project’s pre-existing scripts or saved results were modified — every step here is a new,</w:t>
      </w:r>
      <w:r>
        <w:t xml:space="preserve"> </w:t>
      </w:r>
      <w:r>
        <w:t xml:space="preserve">read-only-input script producing new output files.</w:t>
      </w:r>
    </w:p>
    <w:p>
      <w:pPr>
        <w:pStyle w:val="BodyText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RUN1_RPV1_microvine_2024/</w:t>
      </w:r>
      <w:r>
        <w:rPr>
          <w:bCs/>
          <w:b/>
        </w:rP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T_index_validation_MV102_vs_MV32.R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AED_check_results/Tindex_crosscultivar_validation_MV102_vs_MV32.csv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Tindex_validated_for_crosscultivar_AED.txt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AED_bySFdivergence_shi2024.R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AED_check_results/shi2024_AED_summary.csv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shi2024_AED_gene_concentration.csv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shi2024_AED_underpowered_tests.csv</w:t>
      </w:r>
      <w:r>
        <w:t xml:space="preserve">, per-test null CSVs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AED_plots_shi2024.R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AED_check_results/AED_nulldensity_&lt;family&gt;.pdf</w:t>
      </w:r>
      <w:r>
        <w:t xml:space="preserve"> </w:t>
      </w:r>
      <w:r>
        <w:t xml:space="preserve">(×5),</w:t>
      </w:r>
      <w:r>
        <w:t xml:space="preserve"> </w:t>
      </w:r>
      <w:r>
        <w:rPr>
          <w:rStyle w:val="VerbatimChar"/>
        </w:rPr>
        <w:t xml:space="preserve">AED_trajectory_summary_shi2024.pdf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AED_gene_concentration_extended.R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AED_check_results/shi2024_AED_gene_concentration_extended.csv</w:t>
      </w:r>
    </w:p>
    <w:p>
      <w:pPr>
        <w:pStyle w:val="FirstParagraph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03_AED/</w:t>
      </w:r>
      <w:r>
        <w:rPr>
          <w:bCs/>
          <w:b/>
        </w:rP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AED_within_genotype_temporal.R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AED_check_results/own_study_within_genotype_AED_summary.csv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own_study_within_genotype_AED_gene_concentration.csv</w:t>
      </w:r>
      <w:r>
        <w:t xml:space="preserve">, per-test null CSVs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AED_plots_within_genotype.R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AED_check_results/AED_within_genotype_nulldensity.pdf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AED_own_vs_shi2024_within_cultivar_comparison.pdf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AED_zscore_comparability_check.R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AED_check_results/AED_zscore_comparability_all_tests.csv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AED_zscore_trajectory_plot.R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AED_check_results/AED_zscore_trajectory_comparison.pdf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AED_gene_concentration_extended_within_genotype.R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AED_check_results/own_study_within_genotype_AED_gene_concentration_extended.csv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AED_steepness_analysis.R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AED_check_results/AED_steepness_per_interval.csv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AED_steepness_post_initial_jump_mean.csv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AED_steepness_plot.pdf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AED_selfinclusion_sensitivity_check.R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AED_check_results/AED_selfinclusion_sensitivity.csv</w:t>
      </w:r>
      <w:r>
        <w:t xml:space="preserve"> </w:t>
      </w:r>
      <w:r>
        <w:t xml:space="preserve">(the ρ correction in §6, now recomputed at each expansion stage below)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AED_gene_concentration_extended_cross_genotype.R</w:t>
      </w:r>
      <w:r>
        <w:t xml:space="preserve"> </w:t>
      </w:r>
      <w:r>
        <w:t xml:space="preserve">→ extends</w:t>
      </w:r>
      <w:r>
        <w:t xml:space="preserve"> </w:t>
      </w:r>
      <w:r>
        <w:rPr>
          <w:rStyle w:val="VerbatimChar"/>
        </w:rPr>
        <w:t xml:space="preserve">AED_check_results/AED_gene_concentration_extended_combined.csv</w:t>
      </w:r>
      <w:r>
        <w:t xml:space="preserve"> </w:t>
      </w:r>
      <w:r>
        <w:t xml:space="preserve">with the manuscript’s own original published cross-genotype (resistant vs Susceptible, 0/6/24hpi) AED tests</w:t>
      </w:r>
    </w:p>
    <w:p>
      <w:pPr>
        <w:pStyle w:val="FirstParagraph"/>
      </w:pP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Chitarrini2020/</w:t>
      </w:r>
      <w:r>
        <w:rPr>
          <w:bCs/>
          <w:b/>
        </w:rP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AED_within_condition_temporal.R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AED_check_results/chitarrini_within_condition_AED_summary.csv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chitarrini_within_condition_AED_gene_concentration.csv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chitarrini_within_condition_AED_underpowered_tests.csv</w:t>
      </w:r>
      <w:r>
        <w:t xml:space="preserve">, per-test null CSVs (also caught the 29-of-33-samples gap, §10)</w:t>
      </w:r>
    </w:p>
    <w:p>
      <w:pPr>
        <w:pStyle w:val="FirstParagraph"/>
      </w:pPr>
      <w:r>
        <w:rPr>
          <w:bCs/>
          <w:b/>
        </w:rPr>
        <w:t xml:space="preserve">Back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03_AED/</w:t>
      </w:r>
      <w:r>
        <w:rPr>
          <w:bCs/>
          <w:b/>
        </w:rPr>
        <w:t xml:space="preserve">, extending the consolidator scripts to include Chitarrini2020 and the manuscript’s own original cross-genotype tests</w:t>
      </w:r>
      <w:r>
        <w:t xml:space="preserve"> </w:t>
      </w:r>
      <w:r>
        <w:t xml:space="preserve">(per instruction to always use all three studies plus the manuscript’s own result together from here on):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AED_recompute_protected_null.R</w:t>
      </w:r>
      <w:r>
        <w:t xml:space="preserve"> </w:t>
      </w:r>
      <w:r>
        <w:t xml:space="preserve">→ the protected-ComBat null bugfix (§10), 3 new null 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AED_zscore_comparability_check.R</w:t>
      </w:r>
      <w:r>
        <w:t xml:space="preserve"> </w:t>
      </w:r>
      <w:r>
        <w:t xml:space="preserve">(re-run, extended) →</w:t>
      </w:r>
      <w:r>
        <w:t xml:space="preserve"> </w:t>
      </w:r>
      <w:r>
        <w:rPr>
          <w:rStyle w:val="VerbatimChar"/>
        </w:rPr>
        <w:t xml:space="preserve">AED_check_results/AED_zscore_comparability_all_tests.csv</w:t>
      </w:r>
      <w:r>
        <w:t xml:space="preserve">, now 55 rows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AED_selfinclusion_sensitivity_check.R</w:t>
      </w:r>
      <w:r>
        <w:t xml:space="preserve"> </w:t>
      </w:r>
      <w:r>
        <w:t xml:space="preserve">(re-run, extended) →</w:t>
      </w:r>
      <w:r>
        <w:t xml:space="preserve"> </w:t>
      </w:r>
      <w:r>
        <w:rPr>
          <w:rStyle w:val="VerbatimChar"/>
        </w:rPr>
        <w:t xml:space="preserve">AED_check_results/AED_selfinclusion_sensitivity.csv</w:t>
      </w:r>
      <w:r>
        <w:t xml:space="preserve">, now 55 rows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AED_steepness_analysis.R</w:t>
      </w:r>
      <w:r>
        <w:t xml:space="preserve"> </w:t>
      </w:r>
      <w:r>
        <w:t xml:space="preserve">(re-run, extended, plus a second bug fix for a family/dataset condition that was too broad) →</w:t>
      </w:r>
      <w:r>
        <w:t xml:space="preserve"> </w:t>
      </w:r>
      <w:r>
        <w:rPr>
          <w:rStyle w:val="VerbatimChar"/>
        </w:rPr>
        <w:t xml:space="preserve">AED_check_results/AED_steepness_per_interval.csv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AED_steepness_post_initial_jump_mean.csv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AED_steepness_plot.pdf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AED_summary_table_all_studies.R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AED_check_results/AED_summary_table_all_studies.csv</w:t>
      </w:r>
      <w:r>
        <w:t xml:space="preserve">, the table in §10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Explanation for the Shi2024 AED Cross-Check</dc:title>
  <dc:creator>Compiled 2026-08-17</dc:creator>
  <cp:keywords/>
  <dcterms:created xsi:type="dcterms:W3CDTF">2026-08-17T13:13:01Z</dcterms:created>
  <dcterms:modified xsi:type="dcterms:W3CDTF">2026-08-17T13:13:01Z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