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logo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bao-cao-khao-sat-toss---buoi-09062026"/>
    <w:p>
      <w:pPr>
        <w:pStyle w:val="Heading1"/>
      </w:pPr>
      <w:r>
        <w:t xml:space="preserve">BAO CAO KHAO SAT TOSS - Buoi 09/06/2026</w:t>
      </w:r>
    </w:p>
    <w:p>
      <w:pPr>
        <w:pStyle w:val="FirstParagraph"/>
      </w:pPr>
      <w:r>
        <w:rPr>
          <w:i/>
          <w:iCs/>
        </w:rPr>
        <w:t xml:space="preserve">Thiet ke Function List + ra soat YCKT - QT02.BM.04 · v0.1 · 2026-06-09</w:t>
      </w:r>
    </w:p>
    <w:p>
      <w:r>
        <w:pict>
          <v:rect style="width:0;height:1.5pt" o:hralign="center" o:hrstd="t" o:hr="t"/>
        </w:pict>
      </w:r>
    </w:p>
    <w:bookmarkEnd w:id="50"/>
    <w:bookmarkStart w:id="65" w:name="báo-cáo-khảo-sát-toss-buổi-09062026"/>
    <w:p>
      <w:pPr>
        <w:pStyle w:val="Heading1"/>
      </w:pPr>
      <w:r>
        <w:t xml:space="preserve">Báo cáo Khảo sát TOSS — Buổi 09/06/2026</w:t>
      </w:r>
    </w:p>
    <w:p>
      <w:pPr>
        <w:pStyle w:val="BlockText"/>
      </w:pPr>
      <w:r>
        <w:t xml:space="preserve">Báo cáo kết quả khảo sát buổi</w:t>
      </w:r>
      <w:r>
        <w:t xml:space="preserve"> </w:t>
      </w:r>
      <w:r>
        <w:rPr>
          <w:b/>
          <w:bCs/>
        </w:rPr>
        <w:t xml:space="preserve">09/06/2026</w:t>
      </w:r>
      <w:r>
        <w:t xml:space="preserve"> </w:t>
      </w:r>
      <w:r>
        <w:t xml:space="preserve">(thiết kế Function List / Menu + rà soát YCKT). Tổng hợp từ biên bản</w:t>
      </w:r>
      <w:r>
        <w:t xml:space="preserve"> </w:t>
      </w:r>
      <w:r>
        <w:rPr>
          <w:rStyle w:val="VerbatimChar"/>
        </w:rPr>
        <w:t xml:space="preserve">MM-20260609</w:t>
      </w:r>
      <w:r>
        <w:t xml:space="preserve">, đối chiếu</w:t>
      </w:r>
      <w:r>
        <w:t xml:space="preserve"> </w:t>
      </w:r>
      <w:r>
        <w:rPr>
          <w:rStyle w:val="VerbatimChar"/>
        </w:rPr>
        <w:t xml:space="preserve">TOSS - Triển khai-YCKT.xlsx</w:t>
      </w:r>
      <w:r>
        <w:t xml:space="preserve"> </w:t>
      </w:r>
      <w:r>
        <w:t xml:space="preserve">(đã tách MD:</w:t>
      </w:r>
      <w:r>
        <w:t xml:space="preserve"> </w:t>
      </w:r>
      <w:r>
        <w:rPr>
          <w:rStyle w:val="VerbatimChar"/>
        </w:rPr>
        <w:t xml:space="preserve">yckt-trien-khai/</w:t>
      </w:r>
      <w:r>
        <w:t xml:space="preserve">) +</w:t>
      </w:r>
      <w:r>
        <w:t xml:space="preserve"> </w:t>
      </w:r>
      <w:r>
        <w:rPr>
          <w:rStyle w:val="VerbatimChar"/>
        </w:rPr>
        <w:t xml:space="preserve">domain-knowledge/</w:t>
      </w:r>
      <w:r>
        <w:t xml:space="preserve">. Điểm chưa rõ gắn cờ</w:t>
      </w:r>
      <w:r>
        <w:t xml:space="preserve"> </w:t>
      </w:r>
      <w:r>
        <w:rPr>
          <w:rStyle w:val="VerbatimChar"/>
        </w:rPr>
        <w:t xml:space="preserve">[cần xác nhận]</w:t>
      </w:r>
      <w:r>
        <w:t xml:space="preserve">.</w:t>
      </w:r>
    </w:p>
    <w:bookmarkStart w:id="51" w:name="mục-đích-phạm-vi-khảo-sát"/>
    <w:p>
      <w:pPr>
        <w:pStyle w:val="Heading2"/>
      </w:pPr>
      <w:r>
        <w:t xml:space="preserve">1. Mục đích &amp; Phạm vi khảo sát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Mục đích:</w:t>
      </w:r>
      <w:r>
        <w:t xml:space="preserve"> </w:t>
      </w:r>
      <w:r>
        <w:t xml:space="preserve">thống nhất</w:t>
      </w:r>
      <w:r>
        <w:t xml:space="preserve"> </w:t>
      </w:r>
      <w:r>
        <w:rPr>
          <w:b/>
          <w:bCs/>
        </w:rPr>
        <w:t xml:space="preserve">cây menu / function list</w:t>
      </w:r>
      <w:r>
        <w:t xml:space="preserve"> </w:t>
      </w:r>
      <w:r>
        <w:t xml:space="preserve">TOSS và cách tổ chức master data, phân quyền, các nghiệp vụ Load Control / Quản lý Tàu bay.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Phạm vi buổi:</w:t>
      </w:r>
      <w:r>
        <w:t xml:space="preserve"> </w:t>
      </w:r>
      <w:r>
        <w:t xml:space="preserve">function list 5 cụm nghiệp vụ + 3 cụm quản trị; nghiệp vụ Load Control; Quản lý Tàu bay; lưu trữ tài liệu.</w:t>
      </w:r>
    </w:p>
    <w:bookmarkEnd w:id="51"/>
    <w:bookmarkStart w:id="52" w:name="thành-phần"/>
    <w:p>
      <w:pPr>
        <w:pStyle w:val="Heading2"/>
      </w:pPr>
      <w:r>
        <w:t xml:space="preserve">2. Thành phần</w:t>
      </w:r>
    </w:p>
    <w:p>
      <w:pPr>
        <w:pStyle w:val="Compact"/>
        <w:numPr>
          <w:ilvl w:val="0"/>
          <w:numId w:val="1002"/>
        </w:numPr>
      </w:pPr>
      <w:r>
        <w:t xml:space="preserve">Hãng bay: Bạch Lê (</w:t>
      </w:r>
      <w:r>
        <w:t xml:space="preserve">‘chị Lê’</w:t>
      </w:r>
      <w:r>
        <w:t xml:space="preserve">), An/Nam, Mr Dũng (DSP). Công ty phần mềm: Văn Hiệp, nhóm triển khai. [cần xác nhận]</w:t>
      </w:r>
    </w:p>
    <w:bookmarkEnd w:id="52"/>
    <w:bookmarkStart w:id="61" w:name="kết-quả-khảo-sát"/>
    <w:p>
      <w:pPr>
        <w:pStyle w:val="Heading2"/>
      </w:pPr>
      <w:r>
        <w:t xml:space="preserve">3. Kết quả khảo sát</w:t>
      </w:r>
    </w:p>
    <w:bookmarkStart w:id="53" w:name="cây-menu-function-list"/>
    <w:p>
      <w:pPr>
        <w:pStyle w:val="Heading3"/>
      </w:pPr>
      <w:r>
        <w:t xml:space="preserve">3.1 Cây Menu / Function List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 cụm nghiệp vụ:</w:t>
      </w:r>
      <w:r>
        <w:t xml:space="preserve"> </w:t>
      </w:r>
      <w:r>
        <w:t xml:space="preserve">Flight Operation · Flight Dispatch ·</w:t>
      </w:r>
      <w:r>
        <w:t xml:space="preserve"> </w:t>
      </w:r>
      <w:r>
        <w:rPr>
          <w:b/>
          <w:bCs/>
        </w:rPr>
        <w:t xml:space="preserve">Flight Load Control</w:t>
      </w:r>
      <w:r>
        <w:t xml:space="preserve"> </w:t>
      </w:r>
      <w:r>
        <w:t xml:space="preserve">· Station Manager · (tàu bay/sân bay/chặng bay).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 cụm quản trị (level 0, tách riêng):</w:t>
      </w:r>
      <w:r>
        <w:t xml:space="preserve"> </w:t>
      </w:r>
      <w:r>
        <w:t xml:space="preserve">System Admin · Data Monitoring ·</w:t>
      </w:r>
      <w:r>
        <w:t xml:space="preserve"> </w:t>
      </w:r>
      <w:r>
        <w:rPr>
          <w:b/>
          <w:bCs/>
        </w:rPr>
        <w:t xml:space="preserve">Data Maintenance (danh mục)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Master data vs nghiệp vụ:</w:t>
      </w:r>
      <w:r>
        <w:t xml:space="preserve"> </w:t>
      </w:r>
      <w:r>
        <w:t xml:space="preserve">danh mục = dữ liệu cơ sở (đồng bộ tự động hàng ngày), giá trị chính là phục vụ</w:t>
      </w:r>
      <w:r>
        <w:t xml:space="preserve"> </w:t>
      </w:r>
      <w:r>
        <w:rPr>
          <w:b/>
          <w:bCs/>
        </w:rPr>
        <w:t xml:space="preserve">cảnh báo</w:t>
      </w:r>
      <w:r>
        <w:t xml:space="preserve"> </w:t>
      </w:r>
      <w:r>
        <w:t xml:space="preserve">cho tầng nghiệp vụ. → đối chiếu YCKT sheet</w:t>
      </w:r>
      <w:r>
        <w:t xml:space="preserve"> </w:t>
      </w:r>
      <w:r>
        <w:rPr>
          <w:i/>
          <w:iCs/>
        </w:rPr>
        <w:t xml:space="preserve">MENU</w:t>
      </w:r>
      <w:r>
        <w:t xml:space="preserve"> </w:t>
      </w:r>
      <w:r>
        <w:t xml:space="preserve">+ TOSS-024…026 (danh mục).</w:t>
      </w:r>
    </w:p>
    <w:bookmarkEnd w:id="53"/>
    <w:bookmarkStart w:id="54" w:name="mô-hình-phân-quyền"/>
    <w:p>
      <w:pPr>
        <w:pStyle w:val="Heading3"/>
      </w:pPr>
      <w:r>
        <w:t xml:space="preserve">3.2 Mô hình phân quyền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Phân quyền theo CHỨC NĂNG</w:t>
      </w:r>
      <w:r>
        <w:t xml:space="preserve">; dữ liệu chuyến bay theo</w:t>
      </w:r>
      <w:r>
        <w:t xml:space="preserve"> </w:t>
      </w:r>
      <w:r>
        <w:rPr>
          <w:b/>
          <w:bCs/>
        </w:rPr>
        <w:t xml:space="preserve">main bay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 màn hình dùng chung</w:t>
      </w:r>
      <w:r>
        <w:t xml:space="preserve">,</w:t>
      </w:r>
      <w:r>
        <w:t xml:space="preserve"> </w:t>
      </w:r>
      <w:r>
        <w:rPr>
          <w:b/>
          <w:bCs/>
        </w:rPr>
        <w:t xml:space="preserve">ẩn/hiện cột &amp; nút theo quyền</w:t>
      </w:r>
      <w:r>
        <w:t xml:space="preserve"> </w:t>
      </w:r>
      <w:r>
        <w:t xml:space="preserve">(vd 50 cột: trạng thái/NOTOC/Fly Release/Load&amp;Weight). → khớp YCKT TOSS-020…023 (phân quyền theo Carrier/sân bay/tàu bay).</w:t>
      </w:r>
    </w:p>
    <w:bookmarkEnd w:id="54"/>
    <w:bookmarkStart w:id="55" w:name="flight-load-control-as-is-to-be"/>
    <w:p>
      <w:pPr>
        <w:pStyle w:val="Heading3"/>
      </w:pPr>
      <w:r>
        <w:t xml:space="preserve">3.3 Flight Load Control (As-Is → To-Be)</w:t>
      </w:r>
    </w:p>
    <w:p>
      <w:pPr>
        <w:pStyle w:val="Compact"/>
        <w:numPr>
          <w:ilvl w:val="0"/>
          <w:numId w:val="1005"/>
        </w:numPr>
      </w:pPr>
      <w:r>
        <w:t xml:space="preserve">3 nhóm chức năng:</w:t>
      </w:r>
      <w:r>
        <w:t xml:space="preserve"> </w:t>
      </w:r>
      <w:r>
        <w:rPr>
          <w:b/>
          <w:bCs/>
        </w:rPr>
        <w:t xml:space="preserve">Load &amp; Weight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Cung cấp tài liệu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Lưu NOTOC</w:t>
      </w:r>
      <w:r>
        <w:t xml:space="preserve"> </w:t>
      </w:r>
      <w:r>
        <w:t xml:space="preserve">(2 loại: hành khách + cargo),</w:t>
      </w:r>
      <w:r>
        <w:t xml:space="preserve"> </w:t>
      </w:r>
      <w:r>
        <w:rPr>
          <w:b/>
          <w:bCs/>
        </w:rPr>
        <w:t xml:space="preserve">CM (Cargo Manifest)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Bulk upload</w:t>
      </w:r>
      <w:r>
        <w:t xml:space="preserve"> </w:t>
      </w:r>
      <w:r>
        <w:t xml:space="preserve">(nhiều tài liệu / nhiều chuyến): tab riêng, auto-gắn theo</w:t>
      </w:r>
      <w:r>
        <w:t xml:space="preserve"> </w:t>
      </w:r>
      <w:r>
        <w:rPr>
          <w:b/>
          <w:bCs/>
        </w:rPr>
        <w:t xml:space="preserve">tên file</w:t>
      </w:r>
      <w:r>
        <w:t xml:space="preserve"> </w:t>
      </w:r>
      <w:r>
        <w:t xml:space="preserve">(VN</w:t>
      </w:r>
      <w:r>
        <w:t xml:space="preserve"> </w:t>
      </w:r>
      <w:r>
        <w:t xml:space="preserve"> </w:t>
      </w:r>
      <w:r>
        <w:t xml:space="preserve"> </w:t>
      </w:r>
      <w:r>
        <w:t xml:space="preserve">); loại: Loadsheet,</w:t>
      </w:r>
      <w:r>
        <w:t xml:space="preserve"> </w:t>
      </w:r>
      <w:r>
        <w:rPr>
          <w:b/>
          <w:bCs/>
        </w:rPr>
        <w:t xml:space="preserve">CD/GDPM (= General Declaration/GENDEC — danh sách tổ bay)</w:t>
      </w:r>
      <w:r>
        <w:t xml:space="preserve">, PM, NOTOC. Giữ cả chức năng manual.</w:t>
      </w:r>
    </w:p>
    <w:p>
      <w:pPr>
        <w:pStyle w:val="Compact"/>
        <w:numPr>
          <w:ilvl w:val="0"/>
          <w:numId w:val="1005"/>
        </w:numPr>
      </w:pPr>
      <w:r>
        <w:t xml:space="preserve">→ glossary</w:t>
      </w:r>
      <w:r>
        <w:t xml:space="preserve"> </w:t>
      </w:r>
      <w:r>
        <w:rPr>
          <w:b/>
          <w:bCs/>
        </w:rPr>
        <w:t xml:space="preserve">Loadsheet/CM/NOTOC/PM/GD-GENDEC</w:t>
      </w:r>
      <w:r>
        <w:t xml:space="preserve">; YCKT</w:t>
      </w:r>
      <w:r>
        <w:t xml:space="preserve"> </w:t>
      </w:r>
      <w:r>
        <w:rPr>
          <w:i/>
          <w:iCs/>
        </w:rPr>
        <w:t xml:space="preserve">FOS</w:t>
      </w:r>
      <w:r>
        <w:t xml:space="preserve">.</w:t>
      </w:r>
    </w:p>
    <w:bookmarkEnd w:id="55"/>
    <w:bookmarkStart w:id="56" w:name="lưu-trữ-tài-liệu-retention"/>
    <w:p>
      <w:pPr>
        <w:pStyle w:val="Heading3"/>
      </w:pPr>
      <w:r>
        <w:t xml:space="preserve">3.4 Lưu trữ tài liệu (retention)</w:t>
      </w:r>
    </w:p>
    <w:p>
      <w:pPr>
        <w:pStyle w:val="Compact"/>
        <w:numPr>
          <w:ilvl w:val="0"/>
          <w:numId w:val="1006"/>
        </w:numPr>
      </w:pPr>
      <w:r>
        <w:t xml:space="preserve">Tài liệu</w:t>
      </w:r>
      <w:r>
        <w:t xml:space="preserve"> </w:t>
      </w:r>
      <w:r>
        <w:rPr>
          <w:b/>
          <w:bCs/>
        </w:rPr>
        <w:t xml:space="preserve">sinh từ TOSS</w:t>
      </w:r>
      <w:r>
        <w:t xml:space="preserve"> </w:t>
      </w:r>
      <w:r>
        <w:t xml:space="preserve">(GDPM, NOTOC…) → TOSS lưu.</w:t>
      </w:r>
    </w:p>
    <w:p>
      <w:pPr>
        <w:pStyle w:val="Compact"/>
        <w:numPr>
          <w:ilvl w:val="0"/>
          <w:numId w:val="1006"/>
        </w:numPr>
      </w:pPr>
      <w:r>
        <w:t xml:space="preserve">Tài liệu từ</w:t>
      </w:r>
      <w:r>
        <w:t xml:space="preserve"> </w:t>
      </w:r>
      <w:r>
        <w:rPr>
          <w:b/>
          <w:bCs/>
        </w:rPr>
        <w:t xml:space="preserve">MO/Lido</w:t>
      </w:r>
      <w:r>
        <w:t xml:space="preserve"> </w:t>
      </w:r>
      <w:r>
        <w:t xml:space="preserve">(OFP/OSP, FP, NOTAM, thời tiết) → kéo về khi download, lưu</w:t>
      </w:r>
      <w:r>
        <w:t xml:space="preserve"> </w:t>
      </w:r>
      <w:r>
        <w:rPr>
          <w:b/>
          <w:bCs/>
        </w:rPr>
        <w:t xml:space="preserve">tối đa 3 ngày sau hạ cánh</w:t>
      </w:r>
      <w:r>
        <w:t xml:space="preserve"> </w:t>
      </w:r>
      <w:r>
        <w:t xml:space="preserve">rồi job tự xóa. → khớp YCKT TOSS-116…121 (quản lý dữ liệu).</w:t>
      </w:r>
    </w:p>
    <w:bookmarkEnd w:id="56"/>
    <w:bookmarkStart w:id="57" w:name="quản-lý-tàu-bay"/>
    <w:p>
      <w:pPr>
        <w:pStyle w:val="Heading3"/>
      </w:pPr>
      <w:r>
        <w:t xml:space="preserve">3.5 Quản lý Tàu bay</w:t>
      </w:r>
    </w:p>
    <w:p>
      <w:pPr>
        <w:pStyle w:val="Compact"/>
        <w:numPr>
          <w:ilvl w:val="0"/>
          <w:numId w:val="1007"/>
        </w:numPr>
      </w:pPr>
      <w:r>
        <w:t xml:space="preserve">Lịch sử tàu (in/out, reconfig); hiệu lực theo giai đoạn.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Hình thức: Sở hữu / Thuê khô (Dry) / Thuê ướt (Wet)</w:t>
      </w:r>
      <w:r>
        <w:t xml:space="preserve"> </w:t>
      </w:r>
      <w:r>
        <w:t xml:space="preserve">— khớp glossary + thực tế hãng (sở hữu + đi thuê).</w:t>
      </w:r>
    </w:p>
    <w:p>
      <w:pPr>
        <w:pStyle w:val="Compact"/>
        <w:numPr>
          <w:ilvl w:val="0"/>
          <w:numId w:val="1007"/>
        </w:numPr>
      </w:pPr>
      <w:r>
        <w:t xml:space="preserve">Thuộc tính: trọng tải, config khoang, fuel/water tank capacity, compartment, MEL/CDL, ICAO/IATA designator,</w:t>
      </w:r>
      <w:r>
        <w:t xml:space="preserve"> </w:t>
      </w:r>
      <w:r>
        <w:rPr>
          <w:b/>
          <w:bCs/>
        </w:rPr>
        <w:t xml:space="preserve">Category/nhóm đội tàu</w:t>
      </w:r>
      <w:r>
        <w:t xml:space="preserve"> </w:t>
      </w:r>
      <w:r>
        <w:t xml:space="preserve">(mỗi báo cáo nhóm khác nhau).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Đơn vị nhiên liệu ACARS</w:t>
      </w:r>
      <w:r>
        <w:t xml:space="preserve"> </w:t>
      </w:r>
      <w:r>
        <w:t xml:space="preserve">đổi theo giai đoạn → cần</w:t>
      </w:r>
      <w:r>
        <w:t xml:space="preserve"> </w:t>
      </w:r>
      <w:r>
        <w:rPr>
          <w:b/>
          <w:bCs/>
        </w:rPr>
        <w:t xml:space="preserve">hệ số quy đổi về kg có hiệu lực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→ khớp YCKT</w:t>
      </w:r>
      <w:r>
        <w:t xml:space="preserve"> </w:t>
      </w:r>
      <w:r>
        <w:rPr>
          <w:i/>
          <w:iCs/>
        </w:rPr>
        <w:t xml:space="preserve">Aircraft</w:t>
      </w:r>
      <w:r>
        <w:t xml:space="preserve"> </w:t>
      </w:r>
      <w:r>
        <w:t xml:space="preserve">+ TOSS-122…141 (Quản lý tàu bay, MEL/CDL, Performance Factor).</w:t>
      </w:r>
    </w:p>
    <w:bookmarkEnd w:id="57"/>
    <w:bookmarkStart w:id="58" w:name="sân-bay-cảnh-báo-dịch-vụ"/>
    <w:p>
      <w:pPr>
        <w:pStyle w:val="Heading3"/>
      </w:pPr>
      <w:r>
        <w:t xml:space="preserve">3.6 Sân bay &amp; cảnh báo dịch vụ</w:t>
      </w:r>
    </w:p>
    <w:p>
      <w:pPr>
        <w:pStyle w:val="Compact"/>
        <w:numPr>
          <w:ilvl w:val="0"/>
          <w:numId w:val="1008"/>
        </w:numPr>
      </w:pPr>
      <w:r>
        <w:t xml:space="preserve">Danh mục</w:t>
      </w:r>
      <w:r>
        <w:t xml:space="preserve"> </w:t>
      </w:r>
      <w:r>
        <w:rPr>
          <w:b/>
          <w:bCs/>
        </w:rPr>
        <w:t xml:space="preserve">dịch vụ sân bay</w:t>
      </w:r>
      <w:r>
        <w:t xml:space="preserve"> </w:t>
      </w:r>
      <w:r>
        <w:t xml:space="preserve">(vd sân không hỗ trợ tàu</w:t>
      </w:r>
      <w:r>
        <w:t xml:space="preserve"> </w:t>
      </w:r>
      <w:r>
        <w:rPr>
          <w:b/>
          <w:bCs/>
        </w:rPr>
        <w:t xml:space="preserve">hỏng APU</w:t>
      </w:r>
      <w:r>
        <w:t xml:space="preserve"> </w:t>
      </w:r>
      <w:r>
        <w:t xml:space="preserve">→ cảnh báo + đổi tàu). Hiện quản lý thủ công, không trích xuất được. → glossary</w:t>
      </w:r>
      <w:r>
        <w:t xml:space="preserve"> </w:t>
      </w:r>
      <w:r>
        <w:rPr>
          <w:b/>
          <w:bCs/>
        </w:rPr>
        <w:t xml:space="preserve">APU/AOG</w:t>
      </w:r>
      <w:r>
        <w:t xml:space="preserve">; YCKT TOSS-142… (Quản lý sân bay).</w:t>
      </w:r>
    </w:p>
    <w:bookmarkEnd w:id="58"/>
    <w:bookmarkStart w:id="59" w:name="báo-cáo-thống-kê"/>
    <w:p>
      <w:pPr>
        <w:pStyle w:val="Heading3"/>
      </w:pPr>
      <w:r>
        <w:t xml:space="preserve">3.7 Báo cáo &amp; thống kê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Monitoring = báo cáo độ phủ/độ chính xác dữ liệu</w:t>
      </w:r>
      <w:r>
        <w:t xml:space="preserve"> </w:t>
      </w:r>
      <w:r>
        <w:t xml:space="preserve">(vd điện ACARS theo đội: A321~50%, 787~70-80%, A380~90%), tách màn riêng.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OTP/OSP</w:t>
      </w:r>
      <w:r>
        <w:t xml:space="preserve"> </w:t>
      </w:r>
      <w:r>
        <w:t xml:space="preserve">tự động (cất cánh ≤14 phút = đúng giờ). → khớp scope OSP (CLAUDE §2).</w:t>
      </w:r>
    </w:p>
    <w:bookmarkEnd w:id="59"/>
    <w:bookmarkStart w:id="60" w:name="tham-khảo-chuẩn-quốc-tế"/>
    <w:p>
      <w:pPr>
        <w:pStyle w:val="Heading3"/>
      </w:pPr>
      <w:r>
        <w:t xml:space="preserve">3.8 Tham khảo chuẩn quốc tế</w:t>
      </w:r>
    </w:p>
    <w:p>
      <w:pPr>
        <w:pStyle w:val="Compact"/>
        <w:numPr>
          <w:ilvl w:val="0"/>
          <w:numId w:val="1010"/>
        </w:numPr>
      </w:pPr>
      <w:r>
        <w:t xml:space="preserve">Có tham khảo</w:t>
      </w:r>
      <w:r>
        <w:t xml:space="preserve"> </w:t>
      </w:r>
      <w:r>
        <w:rPr>
          <w:b/>
          <w:bCs/>
        </w:rPr>
        <w:t xml:space="preserve">FAA/ICAO/IATA</w:t>
      </w:r>
      <w:r>
        <w:t xml:space="preserve"> </w:t>
      </w:r>
      <w:r>
        <w:t xml:space="preserve">(mức overview cho một hãng; chi tiết tuân thủ chuẩn). → khớp nguyên tắc nguồn FAA/ICAO là tham khảo.</w:t>
      </w:r>
    </w:p>
    <w:bookmarkEnd w:id="60"/>
    <w:bookmarkEnd w:id="61"/>
    <w:bookmarkStart w:id="62" w:name="quyết-định-thống-nhất-0906"/>
    <w:p>
      <w:pPr>
        <w:pStyle w:val="Heading2"/>
      </w:pPr>
      <w:r>
        <w:t xml:space="preserve">4. Quyết định thống nhất (09/06)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Quyết định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DEC-09-01</w:t>
            </w:r>
          </w:p>
        </w:tc>
        <w:tc>
          <w:tcPr/>
          <w:p>
            <w:pPr>
              <w:pStyle w:val="Compact"/>
            </w:pPr>
            <w:r>
              <w:t xml:space="preserve">Tách Data Maintenance thành menu riêng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DEC-09-02</w:t>
            </w:r>
          </w:p>
        </w:tc>
        <w:tc>
          <w:tcPr/>
          <w:p>
            <w:pPr>
              <w:pStyle w:val="Compact"/>
            </w:pPr>
            <w:r>
              <w:t xml:space="preserve">Phân quyền theo chức năng; 1 màn hình, ẩn/hiện cột-nút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DEC-09-03</w:t>
            </w:r>
          </w:p>
        </w:tc>
        <w:tc>
          <w:tcPr/>
          <w:p>
            <w:pPr>
              <w:pStyle w:val="Compact"/>
            </w:pPr>
            <w:r>
              <w:t xml:space="preserve">Bulk upload tab riêng, auto-gắn theo tên file; giữ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DEC-09-04</w:t>
            </w:r>
          </w:p>
        </w:tc>
        <w:tc>
          <w:tcPr/>
          <w:p>
            <w:pPr>
              <w:pStyle w:val="Compact"/>
            </w:pPr>
            <w:r>
              <w:t xml:space="preserve">Tài liệu MO/Lido lưu tối đa 3 ngày rồi xóa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DEC-09-05</w:t>
            </w:r>
          </w:p>
        </w:tc>
        <w:tc>
          <w:tcPr/>
          <w:p>
            <w:pPr>
              <w:pStyle w:val="Compact"/>
            </w:pPr>
            <w:r>
              <w:t xml:space="preserve">Data Monitoring = báo cáo độ phủ/độ chính xác, màn riêng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DEC-09-06</w:t>
            </w:r>
          </w:p>
        </w:tc>
        <w:tc>
          <w:tcPr/>
          <w:p>
            <w:pPr>
              <w:pStyle w:val="Compact"/>
            </w:pPr>
            <w:r>
              <w:t xml:space="preserve">Quản lý tàu bay theo sở hữu/thuê khô/thuê ướt + lịch sử + Category</w:t>
            </w:r>
          </w:p>
        </w:tc>
      </w:tr>
    </w:tbl>
    <w:bookmarkEnd w:id="62"/>
    <w:bookmarkStart w:id="63" w:name="vấn-đề-tồn-đọng-cần-làm-rõ"/>
    <w:p>
      <w:pPr>
        <w:pStyle w:val="Heading2"/>
      </w:pPr>
      <w:r>
        <w:t xml:space="preserve">5. Vấn đề tồn đọng / cần làm rõ</w:t>
      </w:r>
    </w:p>
    <w:p>
      <w:pPr>
        <w:pStyle w:val="Compact"/>
        <w:numPr>
          <w:ilvl w:val="0"/>
          <w:numId w:val="1011"/>
        </w:numPr>
      </w:pPr>
      <w:r>
        <w:t xml:space="preserve">Bulk upload theo</w:t>
      </w:r>
      <w:r>
        <w:t xml:space="preserve"> </w:t>
      </w:r>
      <w:r>
        <w:rPr>
          <w:b/>
          <w:bCs/>
        </w:rPr>
        <w:t xml:space="preserve">tên file vs content</w:t>
      </w:r>
      <w:r>
        <w:t xml:space="preserve"> </w:t>
      </w:r>
      <w:r>
        <w:t xml:space="preserve">(chốt sau khảo sát GDPM).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Đơn vị nhiên liệu ACARS</w:t>
      </w:r>
      <w:r>
        <w:t xml:space="preserve"> </w:t>
      </w:r>
      <w:r>
        <w:t xml:space="preserve">từng giai đoạn/tàu.</w:t>
      </w:r>
    </w:p>
    <w:p>
      <w:pPr>
        <w:pStyle w:val="Compact"/>
        <w:numPr>
          <w:ilvl w:val="0"/>
          <w:numId w:val="1011"/>
        </w:numPr>
      </w:pPr>
      <w:r>
        <w:t xml:space="preserve">Nguồn</w:t>
      </w:r>
      <w:r>
        <w:t xml:space="preserve"> </w:t>
      </w:r>
      <w:r>
        <w:rPr>
          <w:b/>
          <w:bCs/>
        </w:rPr>
        <w:t xml:space="preserve">danh mục dịch vụ sân bay</w:t>
      </w:r>
      <w:r>
        <w:t xml:space="preserve"> </w:t>
      </w:r>
      <w:r>
        <w:t xml:space="preserve">(hiện thủ công).</w:t>
      </w:r>
    </w:p>
    <w:p>
      <w:pPr>
        <w:pStyle w:val="Compact"/>
        <w:numPr>
          <w:ilvl w:val="0"/>
          <w:numId w:val="1011"/>
        </w:numPr>
      </w:pPr>
      <w:r>
        <w:t xml:space="preserve">Định danh người dự + vai trò; người quyết định từng DEC; địa điểm.</w:t>
      </w:r>
    </w:p>
    <w:bookmarkEnd w:id="63"/>
    <w:bookmarkStart w:id="64" w:name="kết-luận-bước-tiếp"/>
    <w:p>
      <w:pPr>
        <w:pStyle w:val="Heading2"/>
      </w:pPr>
      <w:r>
        <w:t xml:space="preserve">6. Kết luận &amp; bước tiếp</w:t>
      </w:r>
    </w:p>
    <w:p>
      <w:pPr>
        <w:pStyle w:val="Compact"/>
        <w:numPr>
          <w:ilvl w:val="0"/>
          <w:numId w:val="1012"/>
        </w:numPr>
      </w:pPr>
      <w:r>
        <w:t xml:space="preserve">Đã chốt khung function list + mô hình phân quyền + nghiệp vụ Load Control + hướng quản lý tàu bay/sân bay/retention.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Bước tiếp:</w:t>
      </w:r>
      <w:r>
        <w:t xml:space="preserve"> </w:t>
      </w:r>
      <w:r>
        <w:t xml:space="preserve">buổi khảo sát chuyên đề</w:t>
      </w:r>
      <w:r>
        <w:t xml:space="preserve"> </w:t>
      </w:r>
      <w:r>
        <w:rPr>
          <w:b/>
          <w:bCs/>
        </w:rPr>
        <w:t xml:space="preserve">GDPM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ACARS/nhiên liệu</w:t>
      </w:r>
      <w:r>
        <w:t xml:space="preserve">; định nghĩa Category đội tàu; lập danh mục dịch vụ sân bay.</w:t>
      </w:r>
      <w:r>
        <w:t xml:space="preserve"> </w:t>
      </w:r>
      <w:r>
        <w:rPr>
          <w:i/>
          <w:iCs/>
        </w:rPr>
        <w:t xml:space="preserve">(Chi tiết: biên bản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MM-20260609</w:t>
      </w:r>
      <w:r>
        <w:rPr>
          <w:i/>
          <w:iCs/>
        </w:rPr>
        <w:t xml:space="preserve">.)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Báo cáo khảo sát v0.1 — nguồn ASR chất lượng thấp, đối chiếu người dự trước khi dùng làm căn cứ (CLAUDE §0).</w:t>
            </w:r>
          </w:p>
        </w:tc>
      </w:tr>
    </w:tbl>
    <w:bookmarkEnd w:id="64"/>
    <w:bookmarkEnd w:id="65"/>
    <w:sectPr>
      <w:headerReference r:id="rId40" w:type="default"/>
      <w:footerReference r:id="rId41" w:type="default"/>
      <w:footnotePr>
        <w:numRestart w:val="eachSect"/>
      </w:footnotePr>
      <w:pgSz w:h="12240" w:orient="landscape" w:w="15840"/>
      <w:pgMar w:bottom="1440" w:footer="720" w:gutter="0" w:header="720" w:left="1440" w:right="1440" w:top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1" w:color="B5B4B4"/>
      </w:pBdr>
      <w:tabs>
        <w:tab w:val="right" w:pos="9360"/>
      </w:tabs>
      <w:rPr>
        <w:sz w:val="16"/>
        <w:color w:val="595959"/>
      </w:rPr>
    </w:pPr>
    <w:r>
      <w:rPr>
        <w:sz w:val="16"/>
        <w:color w:val="595959"/>
      </w:rPr>
      <w:t>BM.04 · QT.TKKDL.QTDL</w:t>
    </w:r>
    <w:r>
      <w:tab/>
    </w:r>
    <w:r>
      <w:rPr>
        <w:sz w:val="16"/>
        <w:color w:val="595959"/>
      </w:rPr>
      <w:t xml:space="preserve">Trang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PAGE </w:instrText>
    </w:r>
    <w:r>
      <w:rPr>
        <w:sz w:val="16"/>
        <w:color w:val="595959"/>
      </w:rPr>
      <w:fldChar w:fldCharType="end"/>
    </w:r>
    <w:r>
      <w:rPr>
        <w:sz w:val="16"/>
        <w:color w:val="595959"/>
      </w:rPr>
      <w:t xml:space="preserve"> /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NUMPAGES </w:instrText>
    </w:r>
    <w:r>
      <w:rPr>
        <w:sz w:val="16"/>
        <w:color w:val="59595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9360"/>
      </w:tabs>
      <w:rPr>
        <w:sz w:val="18"/>
      </w:rPr>
    </w:pPr>
    <w:r>
      <w:drawing>
        <wp:inline distT="0" distB="0" distL="0" distR="0">
          <wp:extent cx="1188720" cy="252600"/>
          <wp:effectExtent l="0" t="0" r="0" b="0"/>
          <wp:docPr id="1" name="Logo Viette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252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18"/>
      </w:rPr>
      <w:t>Tài liệu thiết kế chi tiết ·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 w:before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360" w:line="240" w:lineRule="auto"/>
      <w:jc w:val="left"/>
      <w:outlineLvl w:val="0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40" w:lineRule="auto"/>
      <w:jc w:val="left"/>
      <w:outlineLvl w:val="1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80" w:line="240" w:lineRule="auto"/>
      <w:jc w:val="left"/>
      <w:outlineLvl w:val="2"/>
    </w:pPr>
    <w:rPr>
      <w:rFonts w:cstheme="majorBidi" w:eastAsiaTheme="majorEastAsia"/>
      <w:color w:val="000000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0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rFonts w:ascii="Times New Roman" w:cs="Times New Roman" w:eastAsia="Times New Roman" w:hAnsi="Times New Roman"/>
        <w:b/>
        <w:color w:val="000000"/>
      </w:rPr>
      <w:tcPr>
        <w:shd w:color="auto" w:fill="D9D9D9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9" Target="numbering.xml" /><Relationship Type="http://schemas.openxmlformats.org/officeDocument/2006/relationships/styles" Id="rId48" Target="styles.xml" /><Relationship Type="http://schemas.openxmlformats.org/officeDocument/2006/relationships/settings" Id="rId47" Target="settings.xml" /><Relationship Type="http://schemas.openxmlformats.org/officeDocument/2006/relationships/webSettings" Id="rId46" Target="webSettings.xml" /><Relationship Type="http://schemas.openxmlformats.org/officeDocument/2006/relationships/fontTable" Id="rId45" Target="fontTable.xml" /><Relationship Type="http://schemas.openxmlformats.org/officeDocument/2006/relationships/theme" Id="rId44" Target="theme/theme1.xml" /><Relationship Type="http://schemas.openxmlformats.org/officeDocument/2006/relationships/footnotes" Id="rId43" Target="footnotes.xml" /><Relationship Type="http://schemas.openxmlformats.org/officeDocument/2006/relationships/comments" Id="rId42" Target="comments.xml" /><Relationship Id="rId40" Target="header1.xml" Type="http://schemas.openxmlformats.org/officeDocument/2006/relationships/header" /><Relationship Id="rId4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2026-06-09T14:18:34Z</dcterms:created>
  <dcterms:modified xsi:type="dcterms:W3CDTF">2026-06-09T14:18:34Z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