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logo.png" ContentType="image/pn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0" w:name="bao-cao-khao-sat-toss---buoi-09062026"/>
    <w:p>
      <w:pPr>
        <w:pStyle w:val="Heading1"/>
      </w:pPr>
      <w:r>
        <w:t xml:space="preserve">BAO CAO KHAO SAT TOSS - Buoi 09/06/2026</w:t>
      </w:r>
    </w:p>
    <w:p>
      <w:pPr>
        <w:pStyle w:val="FirstParagraph"/>
      </w:pPr>
      <w:r>
        <w:rPr>
          <w:i/>
          <w:iCs/>
        </w:rPr>
        <w:t xml:space="preserve">trinh bay theo QT02.BM.04 · v0.2 · 2026-06-09</w:t>
      </w:r>
    </w:p>
    <w:p>
      <w:r>
        <w:pict>
          <v:rect style="width:0;height:1.5pt" o:hralign="center" o:hrstd="t" o:hr="t"/>
        </w:pict>
      </w:r>
    </w:p>
    <w:bookmarkEnd w:id="50"/>
    <w:bookmarkStart w:id="64" w:name="báo-cáo-khảo-sát-toss-buổi-09062026"/>
    <w:p>
      <w:pPr>
        <w:pStyle w:val="Heading1"/>
      </w:pPr>
      <w:r>
        <w:t xml:space="preserve">Báo cáo Khảo sát TOSS — Buổi 09/06/2026</w:t>
      </w:r>
    </w:p>
    <w:bookmarkStart w:id="51" w:name="i.-thông-tin-chung"/>
    <w:p>
      <w:pPr>
        <w:pStyle w:val="Heading2"/>
      </w:pPr>
      <w:r>
        <w:t xml:space="preserve">I. Thông tin chung</w:t>
      </w:r>
    </w:p>
    <w:p>
      <w:pPr>
        <w:pStyle w:val="FirstParagraph"/>
      </w:pPr>
      <w:r>
        <w:t xml:space="preserve">Buổi khảo sát ngày 09/06/2026 tập trung vào việc thiết kế cây menu và danh mục chức năng của hệ thống TOSS, đồng thời rà soát các yêu cầu kỹ thuật đã được tổng hợp trong bảng triển khai. Nội dung trao đổi xoay quanh cách tổ chức các nhóm chức năng nghiệp vụ và quản trị, mô hình phân quyền, nghiệp vụ cân bằng tải, quản lý tàu bay và phương án lưu trữ tài liệu.</w:t>
      </w:r>
    </w:p>
    <w:p>
      <w:pPr>
        <w:pStyle w:val="BodyText"/>
      </w:pPr>
      <w:r>
        <w:t xml:space="preserve">Tham dự buổi làm việc có đại diện hãng bay (chị Bạch Lê, anh An, anh Nam và anh Dũng phụ trách phần tổng quan) cùng đại diện công ty phần mềm (anh Văn Hiệp và nhóm triển khai).</w:t>
      </w:r>
    </w:p>
    <w:bookmarkEnd w:id="51"/>
    <w:bookmarkStart w:id="60" w:name="ii.-nội-dung-khảo-sát"/>
    <w:p>
      <w:pPr>
        <w:pStyle w:val="Heading2"/>
      </w:pPr>
      <w:r>
        <w:t xml:space="preserve">II. Nội dung khảo sát</w:t>
      </w:r>
    </w:p>
    <w:bookmarkStart w:id="52" w:name="cây-menu-và-danh-mục-chức-năng"/>
    <w:p>
      <w:pPr>
        <w:pStyle w:val="Heading3"/>
      </w:pPr>
      <w:r>
        <w:t xml:space="preserve">1. Cây menu và danh mục chức năng</w:t>
      </w:r>
    </w:p>
    <w:p>
      <w:pPr>
        <w:pStyle w:val="FirstParagraph"/>
      </w:pPr>
      <w:r>
        <w:t xml:space="preserve">Hệ thống được tổ chức thành năm nhóm chức năng nghiệp vụ gồm điều hành khai thác, điều phái, cân bằng tải, quản lý sân bay và nhóm danh mục tàu bay – sân bay – chặng bay. Bên cạnh đó là ba nhóm phục vụ quản trị gồm quản trị hệ thống, giám sát dữ liệu và bảo trì danh mục. Hai bên thống nhất tách phần bảo trì danh mục thành một menu riêng vì khối lượng và tính chất dữ liệu liên quan tương đối lớn.</w:t>
      </w:r>
    </w:p>
    <w:p>
      <w:pPr>
        <w:pStyle w:val="BodyText"/>
      </w:pPr>
      <w:r>
        <w:t xml:space="preserve">Về bản chất, danh mục được xem là lớp dữ liệu cơ sở, được đồng bộ tự động hàng ngày và chủ yếu phục vụ cho các cảnh báo ở tầng nghiệp vụ phía trên, chứ không phải là nơi người dùng phải truy cập thường xuyên.</w:t>
      </w:r>
    </w:p>
    <w:bookmarkEnd w:id="52"/>
    <w:bookmarkStart w:id="53" w:name="mô-hình-phân-quyền"/>
    <w:p>
      <w:pPr>
        <w:pStyle w:val="Heading3"/>
      </w:pPr>
      <w:r>
        <w:t xml:space="preserve">2. Mô hình phân quyền</w:t>
      </w:r>
    </w:p>
    <w:p>
      <w:pPr>
        <w:pStyle w:val="FirstParagraph"/>
      </w:pPr>
      <w:r>
        <w:t xml:space="preserve">Hệ thống phân quyền theo chức năng, riêng dữ liệu chuyến bay được phân theo căn cứ bay. Một màn hình dùng chung cho nhiều đối tượng, trong đó các cột thông tin và các nút thao tác sẽ ẩn hoặc hiện tùy theo quyền của người dùng. Chẳng hạn trên một bảng thông tin có khoảng năm mươi cột, người dùng chỉ nhìn thấy nhóm cột tương ứng với quyền được cấp; quyền chỉ xem và quyền thao tác được tách riêng.</w:t>
      </w:r>
    </w:p>
    <w:bookmarkEnd w:id="53"/>
    <w:bookmarkStart w:id="54" w:name="nghiệp-vụ-cân-bằng-tải"/>
    <w:p>
      <w:pPr>
        <w:pStyle w:val="Heading3"/>
      </w:pPr>
      <w:r>
        <w:t xml:space="preserve">3. Nghiệp vụ cân bằng tải</w:t>
      </w:r>
    </w:p>
    <w:p>
      <w:pPr>
        <w:pStyle w:val="FirstParagraph"/>
      </w:pPr>
      <w:r>
        <w:t xml:space="preserve">Phần cân bằng tải gồm ba nhóm chức năng: nhập số liệu tải và cân bằng, cung cấp tài liệu chuyến bay, và lưu các tài liệu thông báo cho cơ trưởng cùng bản kê hàng hóa. Thông báo cho cơ trưởng được chia thành hai loại, một cho hành khách và một cho hàng hóa.</w:t>
      </w:r>
    </w:p>
    <w:p>
      <w:pPr>
        <w:pStyle w:val="BodyText"/>
      </w:pPr>
      <w:r>
        <w:t xml:space="preserve">Ngoài thao tác tải tài liệu cho từng chuyến, hệ thống cần hỗ trợ tải hàng loạt nhiều tài liệu cho nhiều chuyến cùng lúc, được bố trí thành một khu vực riêng cho thuận tiện. Khi đó hệ thống tự gắn tài liệu vào đúng chuyến dựa trên quy ước đặt tên tệp. Hai bên thống nhất sẽ tổ chức một buổi khảo sát chuyên đề để làm rõ luồng tài liệu này, đồng thời vẫn giữ chức năng tải thủ công cho từng chuyến.</w:t>
      </w:r>
    </w:p>
    <w:bookmarkEnd w:id="54"/>
    <w:bookmarkStart w:id="55" w:name="lưu-trữ-tài-liệu"/>
    <w:p>
      <w:pPr>
        <w:pStyle w:val="Heading3"/>
      </w:pPr>
      <w:r>
        <w:t xml:space="preserve">4. Lưu trữ tài liệu</w:t>
      </w:r>
    </w:p>
    <w:p>
      <w:pPr>
        <w:pStyle w:val="FirstParagraph"/>
      </w:pPr>
      <w:r>
        <w:t xml:space="preserve">Tài liệu do chính TOSS sinh ra sẽ được lưu trong hệ thống. Riêng các tài liệu lấy từ hệ thống ngoài chỉ được kéo về khi người dùng tải xuống và lưu tối đa ba ngày sau khi chuyến bay hạ cánh, sau đó được tự động xóa nhằm tiết kiệm bộ nhớ.</w:t>
      </w:r>
    </w:p>
    <w:bookmarkEnd w:id="55"/>
    <w:bookmarkStart w:id="56" w:name="quản-lý-tàu-bay"/>
    <w:p>
      <w:pPr>
        <w:pStyle w:val="Heading3"/>
      </w:pPr>
      <w:r>
        <w:t xml:space="preserve">5. Quản lý tàu bay</w:t>
      </w:r>
    </w:p>
    <w:p>
      <w:pPr>
        <w:pStyle w:val="FirstParagraph"/>
      </w:pPr>
      <w:r>
        <w:t xml:space="preserve">Mỗi tàu bay cần được quản lý theo lịch sử khai thác, bởi một tàu có thể vào ra đội bay nhiều lần hoặc thay đổi cấu hình khoang. Hình thức sở hữu của tàu bao gồm tàu sở hữu, tàu thuê khô và tàu thuê ướt, phản ánh đúng thực tế hãng vừa có tàu của mình vừa đi thuê. Các thuộc tính kỹ thuật được quản lý gồm trọng tải, cấu hình khoang, dung tích thùng nhiên liệu và thùng nước, khoang hàng, danh mục thiết bị tối thiểu cùng các mã định danh quốc tế. Đội tàu còn được phân thành các nhóm khác nhau tùy mục đích báo cáo. Một điểm kỹ thuật đáng lưu ý là đơn vị nhiên liệu trong điện văn từ tàu bay có thể thay đổi theo từng giai đoạn, nên hệ thống cần áp dụng hệ số quy đổi về cùng một đơn vị chuẩn theo thời gian hiệu lực.</w:t>
      </w:r>
    </w:p>
    <w:bookmarkEnd w:id="56"/>
    <w:bookmarkStart w:id="57" w:name="quản-lý-sân-bay-và-cảnh-báo-dịch-vụ"/>
    <w:p>
      <w:pPr>
        <w:pStyle w:val="Heading3"/>
      </w:pPr>
      <w:r>
        <w:t xml:space="preserve">6. Quản lý sân bay và cảnh báo dịch vụ</w:t>
      </w:r>
    </w:p>
    <w:p>
      <w:pPr>
        <w:pStyle w:val="FirstParagraph"/>
      </w:pPr>
      <w:r>
        <w:t xml:space="preserve">Hệ thống cần một danh mục dịch vụ sân bay để ghi nhận năng lực phục vụ, ví dụ sân bay không hỗ trợ tàu bị hỏng động cơ phụ trợ. Khi đó hệ thống phải cảnh báo và hỗ trợ điều hành đổi tàu. Hiện nay các thông tin này đang được quản lý thủ công và khó trích xuất, tổng hợp.</w:t>
      </w:r>
    </w:p>
    <w:bookmarkEnd w:id="57"/>
    <w:bookmarkStart w:id="58" w:name="báo-cáo-và-thống-kê"/>
    <w:p>
      <w:pPr>
        <w:pStyle w:val="Heading3"/>
      </w:pPr>
      <w:r>
        <w:t xml:space="preserve">7. Báo cáo và thống kê</w:t>
      </w:r>
    </w:p>
    <w:p>
      <w:pPr>
        <w:pStyle w:val="FirstParagraph"/>
      </w:pPr>
      <w:r>
        <w:t xml:space="preserve">Hai bên phân biệt rõ giữa nhu cầu xem nhanh hiện trạng và nhu cầu thống kê đánh giá dài hạn. Phần giám sát dữ liệu được hiểu là các báo cáo về độ phủ và độ chính xác của dữ liệu, chẳng hạn tỷ lệ chuyến bay có điện văn theo từng đội tàu, và được thống nhất tách thành màn hình riêng. Các chỉ số đúng giờ và hiệu quả thực hiện lịch khai thác được tính tự động.</w:t>
      </w:r>
    </w:p>
    <w:bookmarkEnd w:id="58"/>
    <w:bookmarkStart w:id="59" w:name="tham-khảo-chuẩn-quốc-tế"/>
    <w:p>
      <w:pPr>
        <w:pStyle w:val="Heading3"/>
      </w:pPr>
      <w:r>
        <w:t xml:space="preserve">8. Tham khảo chuẩn quốc tế</w:t>
      </w:r>
    </w:p>
    <w:p>
      <w:pPr>
        <w:pStyle w:val="FirstParagraph"/>
      </w:pPr>
      <w:r>
        <w:t xml:space="preserve">Trong quá trình xây dựng, hãng có tham khảo các tiêu chuẩn và quy trình quốc tế ở mức tổng quan cho một hãng hàng không, còn quy trình chi tiết tuân thủ theo chuẩn chung. Các nguồn này được sử dụng để tham khảo và giải thích, không thay thế cho yêu cầu thực tế của hãng.</w:t>
      </w:r>
    </w:p>
    <w:bookmarkEnd w:id="59"/>
    <w:bookmarkEnd w:id="60"/>
    <w:bookmarkStart w:id="61" w:name="iii.-các-nội-dung-đã-thống-nhất"/>
    <w:p>
      <w:pPr>
        <w:pStyle w:val="Heading2"/>
      </w:pPr>
      <w:r>
        <w:t xml:space="preserve">III. Các nội dung đã thống nhất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Nội dung thống nhất</w:t>
            </w:r>
          </w:p>
        </w:tc>
      </w:tr>
      <w:tr>
        <w:tc>
          <w:tcPr/>
          <w:p>
            <w:pPr>
              <w:pStyle w:val="Compact"/>
            </w:pPr>
            <w:r>
              <w:t xml:space="preserve">1</w:t>
            </w:r>
          </w:p>
        </w:tc>
        <w:tc>
          <w:tcPr/>
          <w:p>
            <w:pPr>
              <w:pStyle w:val="Compact"/>
            </w:pPr>
            <w:r>
              <w:t xml:space="preserve">Tách bảo trì danh mục thành menu riêng</w:t>
            </w:r>
          </w:p>
        </w:tc>
      </w:tr>
      <w:tr>
        <w:tc>
          <w:tcPr/>
          <w:p>
            <w:pPr>
              <w:pStyle w:val="Compact"/>
            </w:pPr>
            <w:r>
              <w:t xml:space="preserve">2</w:t>
            </w:r>
          </w:p>
        </w:tc>
        <w:tc>
          <w:tcPr/>
          <w:p>
            <w:pPr>
              <w:pStyle w:val="Compact"/>
            </w:pPr>
            <w:r>
              <w:t xml:space="preserve">Phân quyền theo chức năng; dùng chung một màn hình, ẩn/hiện cột và nút theo quyền</w:t>
            </w:r>
          </w:p>
        </w:tc>
      </w:tr>
      <w:tr>
        <w:tc>
          <w:tcPr/>
          <w:p>
            <w:pPr>
              <w:pStyle w:val="Compact"/>
            </w:pPr>
            <w:r>
              <w:t xml:space="preserve">3</w:t>
            </w:r>
          </w:p>
        </w:tc>
        <w:tc>
          <w:tcPr/>
          <w:p>
            <w:pPr>
              <w:pStyle w:val="Compact"/>
            </w:pPr>
            <w:r>
              <w:t xml:space="preserve">Tải tài liệu hàng loạt bố trí khu vực riêng, tự gắn theo tên tệp; vẫn giữ tải thủ công</w:t>
            </w:r>
          </w:p>
        </w:tc>
      </w:tr>
      <w:tr>
        <w:tc>
          <w:tcPr/>
          <w:p>
            <w:pPr>
              <w:pStyle w:val="Compact"/>
            </w:pPr>
            <w:r>
              <w:t xml:space="preserve">4</w:t>
            </w:r>
          </w:p>
        </w:tc>
        <w:tc>
          <w:tcPr/>
          <w:p>
            <w:pPr>
              <w:pStyle w:val="Compact"/>
            </w:pPr>
            <w:r>
              <w:t xml:space="preserve">Tài liệu từ hệ thống ngoài lưu tối đa ba ngày rồi xóa</w:t>
            </w:r>
          </w:p>
        </w:tc>
      </w:tr>
      <w:tr>
        <w:tc>
          <w:tcPr/>
          <w:p>
            <w:pPr>
              <w:pStyle w:val="Compact"/>
            </w:pPr>
            <w:r>
              <w:t xml:space="preserve">5</w:t>
            </w:r>
          </w:p>
        </w:tc>
        <w:tc>
          <w:tcPr/>
          <w:p>
            <w:pPr>
              <w:pStyle w:val="Compact"/>
            </w:pPr>
            <w:r>
              <w:t xml:space="preserve">Giám sát dữ liệu là báo cáo độ phủ và độ chính xác, tách màn riêng</w:t>
            </w:r>
          </w:p>
        </w:tc>
      </w:tr>
      <w:tr>
        <w:tc>
          <w:tcPr/>
          <w:p>
            <w:pPr>
              <w:pStyle w:val="Compact"/>
            </w:pPr>
            <w:r>
              <w:t xml:space="preserve">6</w:t>
            </w:r>
          </w:p>
        </w:tc>
        <w:tc>
          <w:tcPr/>
          <w:p>
            <w:pPr>
              <w:pStyle w:val="Compact"/>
            </w:pPr>
            <w:r>
              <w:t xml:space="preserve">Quản lý tàu bay theo hình thức sở hữu và thuê, kèm lịch sử và phân nhóm đội tàu</w:t>
            </w:r>
          </w:p>
        </w:tc>
      </w:tr>
    </w:tbl>
    <w:bookmarkEnd w:id="61"/>
    <w:bookmarkStart w:id="62" w:name="iv.-vấn-đề-cần-làm-rõ"/>
    <w:p>
      <w:pPr>
        <w:pStyle w:val="Heading2"/>
      </w:pPr>
      <w:r>
        <w:t xml:space="preserve">IV. Vấn đề cần làm rõ</w:t>
      </w:r>
    </w:p>
    <w:p>
      <w:pPr>
        <w:pStyle w:val="FirstParagraph"/>
      </w:pPr>
      <w:r>
        <w:t xml:space="preserve">Còn một số nội dung cần tiếp tục làm rõ: cách phân biệt tài liệu khi tải hàng loạt là theo tên tệp hay theo nội dung, đơn vị nhiên liệu trong điện văn theo từng giai đoạn và từng tàu, và nguồn của danh mục dịch vụ sân bay hiện đang quản lý thủ công. Cần xác nhận đầy đủ danh sách người dự, vai trò và thẩm quyền quyết định.</w:t>
      </w:r>
    </w:p>
    <w:bookmarkEnd w:id="62"/>
    <w:bookmarkStart w:id="63" w:name="v.-kết-luận-và-kế-hoạch-tiếp-theo"/>
    <w:p>
      <w:pPr>
        <w:pStyle w:val="Heading2"/>
      </w:pPr>
      <w:r>
        <w:t xml:space="preserve">V. Kết luận và kế hoạch tiếp theo</w:t>
      </w:r>
    </w:p>
    <w:p>
      <w:pPr>
        <w:pStyle w:val="FirstParagraph"/>
      </w:pPr>
      <w:r>
        <w:t xml:space="preserve">Buổi khảo sát đã chốt được khung danh mục chức năng, mô hình phân quyền, nghiệp vụ cân bằng tải và định hướng quản lý tàu bay, sân bay cùng phương án lưu trữ tài liệu. Bước tiếp theo là tổ chức buổi khảo sát chuyên đề về luồng tài liệu và điện văn từ tàu bay, định nghĩa cách phân nhóm đội tàu phục vụ báo cáo, và lập danh mục dịch vụ sân bay.</w:t>
      </w:r>
    </w:p>
    <w:p>
      <w:r>
        <w:pict>
          <v:rect style="width:0;height:1.5pt" o:hralign="center" o:hrstd="t" o:hr="t"/>
        </w:pict>
      </w:r>
    </w:p>
    <w:p>
      <w:pPr>
        <w:pStyle w:val="FirstParagraph"/>
      </w:pPr>
      <w:r>
        <w:rPr>
          <w:i/>
          <w:iCs/>
        </w:rPr>
        <w:t xml:space="preserve">Báo cáo lập trên cơ sở ghi nhận tại buổi làm việc; một số nội dung kỹ thuật cần đối chiếu lại với người dự họp trước khi sử dụng làm căn cứ chính thức.</w:t>
      </w:r>
    </w:p>
    <w:p>
      <w:r>
        <w:pict>
          <v:rect style="width:0;height:1.5pt" o:hralign="center" o:hrstd="t" o:hr="t"/>
        </w:pict>
      </w:r>
    </w:p>
    <w:bookmarkEnd w:id="63"/>
    <w:bookmarkEnd w:id="64"/>
    <w:sectPr>
      <w:headerReference r:id="rId40" w:type="default"/>
      <w:footerReference r:id="rId41" w:type="default"/>
      <w:footnotePr>
        <w:numRestart w:val="eachSect"/>
      </w:footnotePr>
      <w:pgSz w:h="12240" w:orient="landscape" w:w="15840"/>
      <w:pgMar w:bottom="1440" w:footer="720" w:gutter="0" w:header="720" w:left="1440" w:right="1440" w:top="17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1" w:color="B5B4B4"/>
      </w:pBdr>
      <w:tabs>
        <w:tab w:val="right" w:pos="9360"/>
      </w:tabs>
      <w:rPr>
        <w:sz w:val="16"/>
        <w:color w:val="595959"/>
      </w:rPr>
    </w:pPr>
    <w:r>
      <w:rPr>
        <w:sz w:val="16"/>
        <w:color w:val="595959"/>
      </w:rPr>
      <w:t>BM.04 · QT.TKKDL.QTDL</w:t>
    </w:r>
    <w:r>
      <w:tab/>
    </w:r>
    <w:r>
      <w:rPr>
        <w:sz w:val="16"/>
        <w:color w:val="595959"/>
      </w:rPr>
      <w:t xml:space="preserve">Trang </w:t>
    </w:r>
    <w:r>
      <w:rPr>
        <w:sz w:val="16"/>
        <w:color w:val="595959"/>
      </w:rPr>
      <w:fldChar w:fldCharType="begin"/>
    </w:r>
    <w:r>
      <w:rPr>
        <w:sz w:val="16"/>
        <w:color w:val="595959"/>
      </w:rPr>
      <w:instrText xml:space="preserve"> PAGE </w:instrText>
    </w:r>
    <w:r>
      <w:rPr>
        <w:sz w:val="16"/>
        <w:color w:val="595959"/>
      </w:rPr>
      <w:fldChar w:fldCharType="end"/>
    </w:r>
    <w:r>
      <w:rPr>
        <w:sz w:val="16"/>
        <w:color w:val="595959"/>
      </w:rPr>
      <w:t xml:space="preserve"> / </w:t>
    </w:r>
    <w:r>
      <w:rPr>
        <w:sz w:val="16"/>
        <w:color w:val="595959"/>
      </w:rPr>
      <w:fldChar w:fldCharType="begin"/>
    </w:r>
    <w:r>
      <w:rPr>
        <w:sz w:val="16"/>
        <w:color w:val="595959"/>
      </w:rPr>
      <w:instrText xml:space="preserve"> NUMPAGES </w:instrText>
    </w:r>
    <w:r>
      <w:rPr>
        <w:sz w:val="16"/>
        <w:color w:val="595959"/>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pos="9360"/>
      </w:tabs>
      <w:rPr>
        <w:sz w:val="18"/>
      </w:rPr>
    </w:pPr>
    <w:r>
      <w:drawing>
        <wp:inline distT="0" distB="0" distL="0" distR="0">
          <wp:extent cx="1188720" cy="252600"/>
          <wp:effectExtent l="0" t="0" r="0" b="0"/>
          <wp:docPr id="1" name="Logo Viettel"/>
          <wp:cNvGraphicFramePr>
            <a:graphicFrameLocks noChangeAspect="1"/>
          </wp:cNvGraphicFramePr>
          <a:graphic>
            <a:graphicData uri="http://schemas.openxmlformats.org/drawingml/2006/picture">
              <pic:pic>
                <pic:nvPicPr>
                  <pic:cNvPr id="1" name="logo.png"/>
                  <pic:cNvPicPr/>
                </pic:nvPicPr>
                <pic:blipFill>
                  <a:blip r:embed="rId1"/>
                  <a:stretch>
                    <a:fillRect/>
                  </a:stretch>
                </pic:blipFill>
                <pic:spPr>
                  <a:xfrm>
                    <a:off x="0" y="0"/>
                    <a:ext cx="1188720" cy="252600"/>
                  </a:xfrm>
                  <a:prstGeom prst="rect">
                    <a:avLst/>
                  </a:prstGeom>
                </pic:spPr>
              </pic:pic>
            </a:graphicData>
          </a:graphic>
        </wp:inline>
      </w:drawing>
    </w:r>
    <w:r>
      <w:tab/>
    </w:r>
    <w:r>
      <w:rPr>
        <w:b/>
        <w:sz w:val="18"/>
      </w:rPr>
      <w:t>Tài liệu thiết kế chi tiết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0" w:before="120" w:line="36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360" w:line="240" w:lineRule="auto"/>
      <w:jc w:val="left"/>
      <w:outlineLvl w:val="0"/>
    </w:pPr>
    <w:rPr>
      <w:rFonts w:ascii="Times New Roman" w:cs="Times New Roman" w:eastAsia="Times New Roman" w:hAnsi="Times New Roman"/>
      <w:color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jc w:val="left"/>
      <w:outlineLvl w:val="1"/>
    </w:pPr>
    <w:rPr>
      <w:rFonts w:ascii="Times New Roman" w:cs="Times New Roman" w:eastAsia="Times New Roman" w:hAnsi="Times New Roman"/>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60" w:before="180" w:line="240" w:lineRule="auto"/>
      <w:jc w:val="left"/>
      <w:outlineLvl w:val="2"/>
    </w:pPr>
    <w:rPr>
      <w:rFonts w:cstheme="majorBidi" w:eastAsiaTheme="majorEastAsia"/>
      <w:color w:val="000000"/>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0"/>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40"/>
        <w:left w:type="dxa" w:w="108"/>
        <w:bottom w:type="dxa" w:w="40"/>
        <w:right w:type="dxa" w:w="108"/>
      </w:tblCellMar>
    </w:tblPr>
    <w:tblStylePr w:type="firstRow">
      <w:rPr>
        <w:rFonts w:ascii="Times New Roman" w:cs="Times New Roman" w:eastAsia="Times New Roman" w:hAnsi="Times New Roman"/>
        <w:b/>
        <w:color w:val="000000"/>
      </w:rPr>
      <w:tcPr>
        <w:shd w:color="auto" w:fill="D9D9D9"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9" Target="numbering.xml" /><Relationship Type="http://schemas.openxmlformats.org/officeDocument/2006/relationships/styles" Id="rId48" Target="styles.xml" /><Relationship Type="http://schemas.openxmlformats.org/officeDocument/2006/relationships/settings" Id="rId47" Target="settings.xml" /><Relationship Type="http://schemas.openxmlformats.org/officeDocument/2006/relationships/webSettings" Id="rId46" Target="webSettings.xml" /><Relationship Type="http://schemas.openxmlformats.org/officeDocument/2006/relationships/fontTable" Id="rId45" Target="fontTable.xml" /><Relationship Type="http://schemas.openxmlformats.org/officeDocument/2006/relationships/theme" Id="rId44" Target="theme/theme1.xml" /><Relationship Type="http://schemas.openxmlformats.org/officeDocument/2006/relationships/footnotes" Id="rId43" Target="footnotes.xml" /><Relationship Type="http://schemas.openxmlformats.org/officeDocument/2006/relationships/comments" Id="rId42" Target="comments.xml" /><Relationship Id="rId40" Target="header1.xml" Type="http://schemas.openxmlformats.org/officeDocument/2006/relationships/header" /><Relationship Id="rId41"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2026-06-09T14:34:03Z</dcterms:created>
  <dcterms:modified xsi:type="dcterms:W3CDTF">2026-06-09T14:34:03Z</dcterms:modified>
</cp:coreProperties>
</file>

<file path=docProps/custom.xml><?xml version="1.0" encoding="utf-8"?>
<Properties xmlns="http://schemas.openxmlformats.org/officeDocument/2006/custom-properties" xmlns:vt="http://schemas.openxmlformats.org/officeDocument/2006/docPropsVTypes"/>
</file>