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ao-cao-khao-sat-toss---buoi-09062026"/>
    <w:p>
      <w:pPr>
        <w:pStyle w:val="Heading1"/>
      </w:pPr>
      <w:r>
        <w:t xml:space="preserve">BAO CAO KHAO SAT TOSS - Buoi 09/06/2026</w:t>
      </w:r>
    </w:p>
    <w:p>
      <w:pPr>
        <w:pStyle w:val="FirstParagraph"/>
      </w:pPr>
      <w:r>
        <w:rPr>
          <w:i/>
          <w:iCs/>
        </w:rPr>
        <w:t xml:space="preserve">trinh bay theo QT02.BM.04 · v0.3 · 2026-06-09</w:t>
      </w:r>
    </w:p>
    <w:p>
      <w:r>
        <w:pict>
          <v:rect style="width:0;height:1.5pt" o:hralign="center" o:hrstd="t" o:hr="t"/>
        </w:pict>
      </w:r>
    </w:p>
    <w:bookmarkEnd w:id="50"/>
    <w:bookmarkStart w:id="64" w:name="báo-cáo-khảo-sát-toss-buổi-09062026"/>
    <w:p>
      <w:pPr>
        <w:pStyle w:val="Heading1"/>
      </w:pPr>
      <w:r>
        <w:t xml:space="preserve">Báo cáo Khảo sát TOSS — Buổi 09/06/2026</w:t>
      </w:r>
    </w:p>
    <w:bookmarkStart w:id="51" w:name="i.-thông-tin-chung"/>
    <w:p>
      <w:pPr>
        <w:pStyle w:val="Heading2"/>
      </w:pPr>
      <w:r>
        <w:t xml:space="preserve">I. Thông tin chung</w:t>
      </w:r>
    </w:p>
    <w:p>
      <w:pPr>
        <w:pStyle w:val="Compact"/>
        <w:numPr>
          <w:ilvl w:val="0"/>
          <w:numId w:val="1001"/>
        </w:numPr>
      </w:pPr>
      <w:r>
        <w:rPr>
          <w:b/>
          <w:bCs/>
        </w:rPr>
        <w:t xml:space="preserve">Thời gian:</w:t>
      </w:r>
      <w:r>
        <w:t xml:space="preserve"> </w:t>
      </w:r>
      <w:r>
        <w:t xml:space="preserve">ngày 09/06/2026.</w:t>
      </w:r>
    </w:p>
    <w:p>
      <w:pPr>
        <w:pStyle w:val="Compact"/>
        <w:numPr>
          <w:ilvl w:val="0"/>
          <w:numId w:val="1001"/>
        </w:numPr>
      </w:pPr>
      <w:r>
        <w:rPr>
          <w:b/>
          <w:bCs/>
        </w:rPr>
        <w:t xml:space="preserve">Mục đích:</w:t>
      </w:r>
      <w:r>
        <w:t xml:space="preserve"> </w:t>
      </w:r>
      <w:r>
        <w:t xml:space="preserve">thiết kế cây menu và danh mục chức năng của hệ thống TOSS, đồng thời rà soát các yêu cầu kỹ thuật trong bảng triển khai.</w:t>
      </w:r>
    </w:p>
    <w:p>
      <w:pPr>
        <w:pStyle w:val="Compact"/>
        <w:numPr>
          <w:ilvl w:val="0"/>
          <w:numId w:val="1001"/>
        </w:numPr>
      </w:pPr>
      <w:r>
        <w:rPr>
          <w:b/>
          <w:bCs/>
        </w:rPr>
        <w:t xml:space="preserve">Thành phần:</w:t>
      </w:r>
    </w:p>
    <w:p>
      <w:pPr>
        <w:pStyle w:val="Compact"/>
        <w:numPr>
          <w:ilvl w:val="1"/>
          <w:numId w:val="1002"/>
        </w:numPr>
      </w:pPr>
      <w:r>
        <w:t xml:space="preserve">Bên VNA (hãng bay): chị Bạch Lê, anh An, anh Nam, anh Dũng (phụ trách tổng quan).</w:t>
      </w:r>
    </w:p>
    <w:p>
      <w:pPr>
        <w:pStyle w:val="Compact"/>
        <w:numPr>
          <w:ilvl w:val="1"/>
          <w:numId w:val="1002"/>
        </w:numPr>
      </w:pPr>
      <w:r>
        <w:t xml:space="preserve">Bên VTIT (đơn vị phát triển): anh Văn Hiệp và nhóm triển khai.</w:t>
      </w:r>
    </w:p>
    <w:bookmarkEnd w:id="51"/>
    <w:bookmarkStart w:id="60" w:name="ii.-nội-dung-trao-đổi"/>
    <w:p>
      <w:pPr>
        <w:pStyle w:val="Heading2"/>
      </w:pPr>
      <w:r>
        <w:t xml:space="preserve">II. Nội dung trao đổi</w:t>
      </w:r>
    </w:p>
    <w:bookmarkStart w:id="52" w:name="cây-menu-và-danh-mục-chức-năng"/>
    <w:p>
      <w:pPr>
        <w:pStyle w:val="Heading3"/>
      </w:pPr>
      <w:r>
        <w:t xml:space="preserve">1. Cây menu và danh mục chức năng</w:t>
      </w:r>
    </w:p>
    <w:p>
      <w:pPr>
        <w:pStyle w:val="Compact"/>
        <w:numPr>
          <w:ilvl w:val="0"/>
          <w:numId w:val="1003"/>
        </w:numPr>
      </w:pPr>
      <w:r>
        <w:rPr>
          <w:b/>
          <w:bCs/>
        </w:rPr>
        <w:t xml:space="preserve">VTIT trao đổi:</w:t>
      </w:r>
    </w:p>
    <w:p>
      <w:pPr>
        <w:pStyle w:val="Compact"/>
        <w:numPr>
          <w:ilvl w:val="1"/>
          <w:numId w:val="1004"/>
        </w:numPr>
      </w:pPr>
      <w:r>
        <w:t xml:space="preserve">Đề xuất tổ chức hệ thống thành năm nhóm chức năng nghiệp vụ (điều hành khai thác, điều phái, cân bằng tải, quản lý sân bay, danh mục tàu bay – sân bay – chặng bay) và ba nhóm quản trị (quản trị hệ thống, giám sát dữ liệu, bảo trì danh mục).</w:t>
      </w:r>
    </w:p>
    <w:p>
      <w:pPr>
        <w:pStyle w:val="Compact"/>
        <w:numPr>
          <w:ilvl w:val="1"/>
          <w:numId w:val="1004"/>
        </w:numPr>
      </w:pPr>
      <w:r>
        <w:t xml:space="preserve">Đề xuất đưa danh mục, cấu hình tham số và cảnh báo vào nhóm quản trị.</w:t>
      </w:r>
    </w:p>
    <w:p>
      <w:pPr>
        <w:pStyle w:val="Compact"/>
        <w:numPr>
          <w:ilvl w:val="0"/>
          <w:numId w:val="1003"/>
        </w:numPr>
      </w:pPr>
      <w:r>
        <w:rPr>
          <w:b/>
          <w:bCs/>
        </w:rPr>
        <w:t xml:space="preserve">VNA trao đổi:</w:t>
      </w:r>
    </w:p>
    <w:p>
      <w:pPr>
        <w:pStyle w:val="Compact"/>
        <w:numPr>
          <w:ilvl w:val="1"/>
          <w:numId w:val="1005"/>
        </w:numPr>
      </w:pPr>
      <w:r>
        <w:t xml:space="preserve">Danh mục là lớp dữ liệu cơ sở, đồng bộ tự động hàng ngày, chủ yếu phục vụ cảnh báo ở tầng nghiệp vụ.</w:t>
      </w:r>
    </w:p>
    <w:p>
      <w:pPr>
        <w:pStyle w:val="Compact"/>
        <w:numPr>
          <w:ilvl w:val="1"/>
          <w:numId w:val="1005"/>
        </w:numPr>
      </w:pPr>
      <w:r>
        <w:t xml:space="preserve">Đề nghị tách phần bảo trì danh mục thành một menu riêng do khối lượng dữ liệu lớn.</w:t>
      </w:r>
    </w:p>
    <w:p>
      <w:pPr>
        <w:pStyle w:val="Compact"/>
        <w:numPr>
          <w:ilvl w:val="0"/>
          <w:numId w:val="1003"/>
        </w:numPr>
      </w:pPr>
      <w:r>
        <w:rPr>
          <w:b/>
          <w:bCs/>
        </w:rPr>
        <w:t xml:space="preserve">Kết quả:</w:t>
      </w:r>
      <w:r>
        <w:t xml:space="preserve"> </w:t>
      </w:r>
      <w:r>
        <w:t xml:space="preserve">thống nhất tách bảo trì danh mục thành menu riêng, cùng cấp với quản trị hệ thống và giám sát dữ liệu.</w:t>
      </w:r>
    </w:p>
    <w:bookmarkEnd w:id="52"/>
    <w:bookmarkStart w:id="53" w:name="mô-hình-phân-quyền"/>
    <w:p>
      <w:pPr>
        <w:pStyle w:val="Heading3"/>
      </w:pPr>
      <w:r>
        <w:t xml:space="preserve">2. Mô hình phân quyền</w:t>
      </w:r>
    </w:p>
    <w:p>
      <w:pPr>
        <w:pStyle w:val="Compact"/>
        <w:numPr>
          <w:ilvl w:val="0"/>
          <w:numId w:val="1006"/>
        </w:numPr>
      </w:pPr>
      <w:r>
        <w:rPr>
          <w:b/>
          <w:bCs/>
        </w:rPr>
        <w:t xml:space="preserve">VTIT trao đổi:</w:t>
      </w:r>
    </w:p>
    <w:p>
      <w:pPr>
        <w:pStyle w:val="Compact"/>
        <w:numPr>
          <w:ilvl w:val="1"/>
          <w:numId w:val="1007"/>
        </w:numPr>
      </w:pPr>
      <w:r>
        <w:t xml:space="preserve">Đề xuất dùng chung một màn hình cho nhiều đối tượng; các cột thông tin và nút thao tác ẩn hoặc hiện theo quyền người dùng (ví dụ bảng năm mươi cột, mỗi người chỉ thấy nhóm cột tương ứng quyền của mình); tách riêng quyền chỉ xem và quyền thao tác.</w:t>
      </w:r>
    </w:p>
    <w:p>
      <w:pPr>
        <w:pStyle w:val="Compact"/>
        <w:numPr>
          <w:ilvl w:val="0"/>
          <w:numId w:val="1006"/>
        </w:numPr>
      </w:pPr>
      <w:r>
        <w:rPr>
          <w:b/>
          <w:bCs/>
        </w:rPr>
        <w:t xml:space="preserve">VNA trao đổi:</w:t>
      </w:r>
    </w:p>
    <w:p>
      <w:pPr>
        <w:pStyle w:val="Compact"/>
        <w:numPr>
          <w:ilvl w:val="1"/>
          <w:numId w:val="1008"/>
        </w:numPr>
      </w:pPr>
      <w:r>
        <w:t xml:space="preserve">Phân quyền theo chức năng; riêng dữ liệu chuyến bay phân theo căn cứ bay.</w:t>
      </w:r>
    </w:p>
    <w:p>
      <w:pPr>
        <w:pStyle w:val="Compact"/>
        <w:numPr>
          <w:ilvl w:val="0"/>
          <w:numId w:val="1006"/>
        </w:numPr>
      </w:pPr>
      <w:r>
        <w:rPr>
          <w:b/>
          <w:bCs/>
        </w:rPr>
        <w:t xml:space="preserve">Kết quả:</w:t>
      </w:r>
      <w:r>
        <w:t xml:space="preserve"> </w:t>
      </w:r>
      <w:r>
        <w:t xml:space="preserve">thống nhất phân quyền theo chức năng, một màn hình dùng chung, ẩn/hiện cột và nút theo quyền.</w:t>
      </w:r>
    </w:p>
    <w:bookmarkEnd w:id="53"/>
    <w:bookmarkStart w:id="54" w:name="nghiệp-vụ-cân-bằng-tải"/>
    <w:p>
      <w:pPr>
        <w:pStyle w:val="Heading3"/>
      </w:pPr>
      <w:r>
        <w:t xml:space="preserve">3. Nghiệp vụ cân bằng tải</w:t>
      </w:r>
    </w:p>
    <w:p>
      <w:pPr>
        <w:pStyle w:val="Compact"/>
        <w:numPr>
          <w:ilvl w:val="0"/>
          <w:numId w:val="1009"/>
        </w:numPr>
      </w:pPr>
      <w:r>
        <w:rPr>
          <w:b/>
          <w:bCs/>
        </w:rPr>
        <w:t xml:space="preserve">VNA trao đổi:</w:t>
      </w:r>
    </w:p>
    <w:p>
      <w:pPr>
        <w:pStyle w:val="Compact"/>
        <w:numPr>
          <w:ilvl w:val="1"/>
          <w:numId w:val="1010"/>
        </w:numPr>
      </w:pPr>
      <w:r>
        <w:t xml:space="preserve">Phần cân bằng tải gồm ba nhóm chức năng: nhập số liệu tải và cân bằng, cung cấp tài liệu chuyến bay, và lưu thông báo cho cơ trưởng cùng bản kê hàng hóa; thông báo cho cơ trưởng chia hai loại cho hành khách và hàng hóa.</w:t>
      </w:r>
    </w:p>
    <w:p>
      <w:pPr>
        <w:pStyle w:val="Compact"/>
        <w:numPr>
          <w:ilvl w:val="1"/>
          <w:numId w:val="1010"/>
        </w:numPr>
      </w:pPr>
      <w:r>
        <w:t xml:space="preserve">Ngoài tải tài liệu từng chuyến, cần tải hàng loạt nhiều tài liệu cho nhiều chuyến cùng lúc.</w:t>
      </w:r>
    </w:p>
    <w:p>
      <w:pPr>
        <w:pStyle w:val="Compact"/>
        <w:numPr>
          <w:ilvl w:val="0"/>
          <w:numId w:val="1009"/>
        </w:numPr>
      </w:pPr>
      <w:r>
        <w:rPr>
          <w:b/>
          <w:bCs/>
        </w:rPr>
        <w:t xml:space="preserve">VTIT trao đổi:</w:t>
      </w:r>
    </w:p>
    <w:p>
      <w:pPr>
        <w:pStyle w:val="Compact"/>
        <w:numPr>
          <w:ilvl w:val="1"/>
          <w:numId w:val="1011"/>
        </w:numPr>
      </w:pPr>
      <w:r>
        <w:t xml:space="preserve">Đề xuất bố trí tải hàng loạt thành khu vực riêng, hệ thống tự gắn tài liệu vào đúng chuyến dựa trên quy ước đặt tên tệp; vẫn giữ chức năng tải thủ công.</w:t>
      </w:r>
    </w:p>
    <w:p>
      <w:pPr>
        <w:pStyle w:val="Compact"/>
        <w:numPr>
          <w:ilvl w:val="1"/>
          <w:numId w:val="1011"/>
        </w:numPr>
      </w:pPr>
      <w:r>
        <w:t xml:space="preserve">Đề nghị làm rõ định dạng và quy ước đặt tên của tài liệu nguồn.</w:t>
      </w:r>
    </w:p>
    <w:p>
      <w:pPr>
        <w:pStyle w:val="Compact"/>
        <w:numPr>
          <w:ilvl w:val="0"/>
          <w:numId w:val="1009"/>
        </w:numPr>
      </w:pPr>
      <w:r>
        <w:rPr>
          <w:b/>
          <w:bCs/>
        </w:rPr>
        <w:t xml:space="preserve">Kết quả:</w:t>
      </w:r>
      <w:r>
        <w:t xml:space="preserve"> </w:t>
      </w:r>
      <w:r>
        <w:t xml:space="preserve">thống nhất tải hàng loạt theo khu vực riêng, tự gắn theo tên tệp; tổ chức một buổi khảo sát chuyên đề về luồng tài liệu này.</w:t>
      </w:r>
    </w:p>
    <w:bookmarkEnd w:id="54"/>
    <w:bookmarkStart w:id="55" w:name="lưu-trữ-tài-liệu"/>
    <w:p>
      <w:pPr>
        <w:pStyle w:val="Heading3"/>
      </w:pPr>
      <w:r>
        <w:t xml:space="preserve">4. Lưu trữ tài liệu</w:t>
      </w:r>
    </w:p>
    <w:p>
      <w:pPr>
        <w:pStyle w:val="Compact"/>
        <w:numPr>
          <w:ilvl w:val="0"/>
          <w:numId w:val="1012"/>
        </w:numPr>
      </w:pPr>
      <w:r>
        <w:rPr>
          <w:b/>
          <w:bCs/>
        </w:rPr>
        <w:t xml:space="preserve">VTIT trao đổi:</w:t>
      </w:r>
    </w:p>
    <w:p>
      <w:pPr>
        <w:pStyle w:val="Compact"/>
        <w:numPr>
          <w:ilvl w:val="1"/>
          <w:numId w:val="1013"/>
        </w:numPr>
      </w:pPr>
      <w:r>
        <w:t xml:space="preserve">Đề xuất tài liệu lấy từ hệ thống ngoài chỉ kéo về khi người dùng tải xuống và lưu tối đa ba ngày sau khi chuyến bay hạ cánh, sau đó tự động xóa để tiết kiệm bộ nhớ.</w:t>
      </w:r>
    </w:p>
    <w:p>
      <w:pPr>
        <w:pStyle w:val="Compact"/>
        <w:numPr>
          <w:ilvl w:val="0"/>
          <w:numId w:val="1012"/>
        </w:numPr>
      </w:pPr>
      <w:r>
        <w:rPr>
          <w:b/>
          <w:bCs/>
        </w:rPr>
        <w:t xml:space="preserve">VNA trao đổi:</w:t>
      </w:r>
    </w:p>
    <w:p>
      <w:pPr>
        <w:pStyle w:val="Compact"/>
        <w:numPr>
          <w:ilvl w:val="1"/>
          <w:numId w:val="1014"/>
        </w:numPr>
      </w:pPr>
      <w:r>
        <w:t xml:space="preserve">Tài liệu do chính TOSS sinh ra thì lưu trong hệ thống; tài liệu từ hệ thống ngoài lưu tạm theo nguyên tắc trên.</w:t>
      </w:r>
    </w:p>
    <w:p>
      <w:pPr>
        <w:pStyle w:val="Compact"/>
        <w:numPr>
          <w:ilvl w:val="0"/>
          <w:numId w:val="1012"/>
        </w:numPr>
      </w:pPr>
      <w:r>
        <w:rPr>
          <w:b/>
          <w:bCs/>
        </w:rPr>
        <w:t xml:space="preserve">Kết quả:</w:t>
      </w:r>
      <w:r>
        <w:t xml:space="preserve"> </w:t>
      </w:r>
      <w:r>
        <w:t xml:space="preserve">thống nhất tài liệu sinh từ TOSS thì lưu, tài liệu từ hệ thống ngoài lưu tối đa ba ngày rồi xóa.</w:t>
      </w:r>
    </w:p>
    <w:bookmarkEnd w:id="55"/>
    <w:bookmarkStart w:id="56" w:name="quản-lý-tàu-bay"/>
    <w:p>
      <w:pPr>
        <w:pStyle w:val="Heading3"/>
      </w:pPr>
      <w:r>
        <w:t xml:space="preserve">5. Quản lý tàu bay</w:t>
      </w:r>
    </w:p>
    <w:p>
      <w:pPr>
        <w:pStyle w:val="Compact"/>
        <w:numPr>
          <w:ilvl w:val="0"/>
          <w:numId w:val="1015"/>
        </w:numPr>
      </w:pPr>
      <w:r>
        <w:rPr>
          <w:b/>
          <w:bCs/>
        </w:rPr>
        <w:t xml:space="preserve">VNA trao đổi:</w:t>
      </w:r>
    </w:p>
    <w:p>
      <w:pPr>
        <w:pStyle w:val="Compact"/>
        <w:numPr>
          <w:ilvl w:val="1"/>
          <w:numId w:val="1016"/>
        </w:numPr>
      </w:pPr>
      <w:r>
        <w:t xml:space="preserve">Mỗi tàu cần quản lý theo lịch sử khai thác vì có thể vào ra đội bay nhiều lần hoặc thay đổi cấu hình khoang.</w:t>
      </w:r>
    </w:p>
    <w:p>
      <w:pPr>
        <w:pStyle w:val="Compact"/>
        <w:numPr>
          <w:ilvl w:val="1"/>
          <w:numId w:val="1016"/>
        </w:numPr>
      </w:pPr>
      <w:r>
        <w:t xml:space="preserve">Hình thức sở hữu gồm tàu sở hữu, tàu thuê khô và tàu thuê ướt, phản ánh thực tế hãng vừa có tàu của mình vừa đi thuê.</w:t>
      </w:r>
    </w:p>
    <w:p>
      <w:pPr>
        <w:pStyle w:val="Compact"/>
        <w:numPr>
          <w:ilvl w:val="1"/>
          <w:numId w:val="1016"/>
        </w:numPr>
      </w:pPr>
      <w:r>
        <w:t xml:space="preserve">Các thuộc tính cần quản lý: trọng tải, cấu hình khoang, dung tích thùng nhiên liệu và thùng nước, khoang hàng, danh mục thiết bị tối thiểu, mã định danh quốc tế; đội tàu được phân nhóm tùy mục đích báo cáo.</w:t>
      </w:r>
    </w:p>
    <w:p>
      <w:pPr>
        <w:pStyle w:val="Compact"/>
        <w:numPr>
          <w:ilvl w:val="0"/>
          <w:numId w:val="1015"/>
        </w:numPr>
      </w:pPr>
      <w:r>
        <w:rPr>
          <w:b/>
          <w:bCs/>
        </w:rPr>
        <w:t xml:space="preserve">VTIT trao đổi:</w:t>
      </w:r>
    </w:p>
    <w:p>
      <w:pPr>
        <w:pStyle w:val="Compact"/>
        <w:numPr>
          <w:ilvl w:val="1"/>
          <w:numId w:val="1017"/>
        </w:numPr>
      </w:pPr>
      <w:r>
        <w:t xml:space="preserve">Ghi nhận; đề xuất cơ chế định nghĩa nhóm đội tàu để mỗi tàu chỉ gán một lần.</w:t>
      </w:r>
    </w:p>
    <w:p>
      <w:pPr>
        <w:pStyle w:val="Compact"/>
        <w:numPr>
          <w:ilvl w:val="1"/>
          <w:numId w:val="1017"/>
        </w:numPr>
      </w:pPr>
      <w:r>
        <w:t xml:space="preserve">Lưu ý đơn vị nhiên liệu trong điện văn từ tàu bay có thể đổi theo giai đoạn, cần hệ số quy đổi về cùng đơn vị chuẩn theo thời gian hiệu lực.</w:t>
      </w:r>
    </w:p>
    <w:p>
      <w:pPr>
        <w:pStyle w:val="Compact"/>
        <w:numPr>
          <w:ilvl w:val="0"/>
          <w:numId w:val="1015"/>
        </w:numPr>
      </w:pPr>
      <w:r>
        <w:rPr>
          <w:b/>
          <w:bCs/>
        </w:rPr>
        <w:t xml:space="preserve">Kết quả:</w:t>
      </w:r>
      <w:r>
        <w:t xml:space="preserve"> </w:t>
      </w:r>
      <w:r>
        <w:t xml:space="preserve">thống nhất quản lý tàu bay theo hình thức sở hữu và thuê, kèm lịch sử và phân nhóm đội tàu.</w:t>
      </w:r>
    </w:p>
    <w:bookmarkEnd w:id="56"/>
    <w:bookmarkStart w:id="57" w:name="quản-lý-sân-bay-và-cảnh-báo-dịch-vụ"/>
    <w:p>
      <w:pPr>
        <w:pStyle w:val="Heading3"/>
      </w:pPr>
      <w:r>
        <w:t xml:space="preserve">6. Quản lý sân bay và cảnh báo dịch vụ</w:t>
      </w:r>
    </w:p>
    <w:p>
      <w:pPr>
        <w:pStyle w:val="Compact"/>
        <w:numPr>
          <w:ilvl w:val="0"/>
          <w:numId w:val="1018"/>
        </w:numPr>
      </w:pPr>
      <w:r>
        <w:rPr>
          <w:b/>
          <w:bCs/>
        </w:rPr>
        <w:t xml:space="preserve">VNA trao đổi:</w:t>
      </w:r>
    </w:p>
    <w:p>
      <w:pPr>
        <w:pStyle w:val="Compact"/>
        <w:numPr>
          <w:ilvl w:val="1"/>
          <w:numId w:val="1019"/>
        </w:numPr>
      </w:pPr>
      <w:r>
        <w:t xml:space="preserve">Cần danh mục dịch vụ sân bay để ghi nhận năng lực phục vụ (ví dụ sân bay không hỗ trợ tàu hỏng động cơ phụ trợ).</w:t>
      </w:r>
    </w:p>
    <w:p>
      <w:pPr>
        <w:pStyle w:val="Compact"/>
        <w:numPr>
          <w:ilvl w:val="1"/>
          <w:numId w:val="1019"/>
        </w:numPr>
      </w:pPr>
      <w:r>
        <w:t xml:space="preserve">Hiện các thông tin này đang quản lý thủ công, khó trích xuất và tổng hợp.</w:t>
      </w:r>
    </w:p>
    <w:p>
      <w:pPr>
        <w:pStyle w:val="Compact"/>
        <w:numPr>
          <w:ilvl w:val="0"/>
          <w:numId w:val="1018"/>
        </w:numPr>
      </w:pPr>
      <w:r>
        <w:rPr>
          <w:b/>
          <w:bCs/>
        </w:rPr>
        <w:t xml:space="preserve">VTIT trao đổi:</w:t>
      </w:r>
    </w:p>
    <w:p>
      <w:pPr>
        <w:pStyle w:val="Compact"/>
        <w:numPr>
          <w:ilvl w:val="1"/>
          <w:numId w:val="1020"/>
        </w:numPr>
      </w:pPr>
      <w:r>
        <w:t xml:space="preserve">Ghi nhận để xây danh mục và cơ chế cảnh báo, hỗ trợ điều hành đổi tàu khi cần.</w:t>
      </w:r>
    </w:p>
    <w:p>
      <w:pPr>
        <w:pStyle w:val="Compact"/>
        <w:numPr>
          <w:ilvl w:val="0"/>
          <w:numId w:val="1018"/>
        </w:numPr>
      </w:pPr>
      <w:r>
        <w:rPr>
          <w:b/>
          <w:bCs/>
        </w:rPr>
        <w:t xml:space="preserve">Kết quả:</w:t>
      </w:r>
      <w:r>
        <w:t xml:space="preserve"> </w:t>
      </w:r>
      <w:r>
        <w:t xml:space="preserve">thống nhất xây danh mục dịch vụ sân bay phục vụ cảnh báo.</w:t>
      </w:r>
    </w:p>
    <w:bookmarkEnd w:id="57"/>
    <w:bookmarkStart w:id="58" w:name="báo-cáo-và-giám-sát-dữ-liệu"/>
    <w:p>
      <w:pPr>
        <w:pStyle w:val="Heading3"/>
      </w:pPr>
      <w:r>
        <w:t xml:space="preserve">7. Báo cáo và giám sát dữ liệu</w:t>
      </w:r>
    </w:p>
    <w:p>
      <w:pPr>
        <w:pStyle w:val="Compact"/>
        <w:numPr>
          <w:ilvl w:val="0"/>
          <w:numId w:val="1021"/>
        </w:numPr>
      </w:pPr>
      <w:r>
        <w:rPr>
          <w:b/>
          <w:bCs/>
        </w:rPr>
        <w:t xml:space="preserve">VNA trao đổi:</w:t>
      </w:r>
    </w:p>
    <w:p>
      <w:pPr>
        <w:pStyle w:val="Compact"/>
        <w:numPr>
          <w:ilvl w:val="1"/>
          <w:numId w:val="1022"/>
        </w:numPr>
      </w:pPr>
      <w:r>
        <w:t xml:space="preserve">Phân biệt nhu cầu xem nhanh hiện trạng và nhu cầu thống kê đánh giá dài hạn.</w:t>
      </w:r>
    </w:p>
    <w:p>
      <w:pPr>
        <w:pStyle w:val="Compact"/>
        <w:numPr>
          <w:ilvl w:val="1"/>
          <w:numId w:val="1022"/>
        </w:numPr>
      </w:pPr>
      <w:r>
        <w:t xml:space="preserve">Phần giám sát dữ liệu thực chất là báo cáo về độ phủ và độ chính xác của dữ liệu (ví dụ tỷ lệ chuyến bay có điện văn theo từng đội tàu), nên muốn tách thành màn hình riêng.</w:t>
      </w:r>
    </w:p>
    <w:p>
      <w:pPr>
        <w:pStyle w:val="Compact"/>
        <w:numPr>
          <w:ilvl w:val="0"/>
          <w:numId w:val="1021"/>
        </w:numPr>
      </w:pPr>
      <w:r>
        <w:rPr>
          <w:b/>
          <w:bCs/>
        </w:rPr>
        <w:t xml:space="preserve">VTIT trao đổi:</w:t>
      </w:r>
    </w:p>
    <w:p>
      <w:pPr>
        <w:pStyle w:val="Compact"/>
        <w:numPr>
          <w:ilvl w:val="1"/>
          <w:numId w:val="1023"/>
        </w:numPr>
      </w:pPr>
      <w:r>
        <w:t xml:space="preserve">Đề xuất tách màn giám sát dữ liệu riêng và tính tự động các chỉ số đúng giờ, hiệu quả thực hiện lịch khai thác.</w:t>
      </w:r>
    </w:p>
    <w:p>
      <w:pPr>
        <w:pStyle w:val="Compact"/>
        <w:numPr>
          <w:ilvl w:val="0"/>
          <w:numId w:val="1021"/>
        </w:numPr>
      </w:pPr>
      <w:r>
        <w:rPr>
          <w:b/>
          <w:bCs/>
        </w:rPr>
        <w:t xml:space="preserve">Kết quả:</w:t>
      </w:r>
      <w:r>
        <w:t xml:space="preserve"> </w:t>
      </w:r>
      <w:r>
        <w:t xml:space="preserve">thống nhất tách màn giám sát dữ liệu riêng; chỉ số tính tự động.</w:t>
      </w:r>
    </w:p>
    <w:bookmarkEnd w:id="58"/>
    <w:bookmarkStart w:id="59" w:name="tham-khảo-chuẩn-quốc-tế"/>
    <w:p>
      <w:pPr>
        <w:pStyle w:val="Heading3"/>
      </w:pPr>
      <w:r>
        <w:t xml:space="preserve">8. Tham khảo chuẩn quốc tế</w:t>
      </w:r>
    </w:p>
    <w:p>
      <w:pPr>
        <w:pStyle w:val="Compact"/>
        <w:numPr>
          <w:ilvl w:val="0"/>
          <w:numId w:val="1024"/>
        </w:numPr>
      </w:pPr>
      <w:r>
        <w:rPr>
          <w:b/>
          <w:bCs/>
        </w:rPr>
        <w:t xml:space="preserve">VTIT trao đổi:</w:t>
      </w:r>
    </w:p>
    <w:p>
      <w:pPr>
        <w:pStyle w:val="Compact"/>
        <w:numPr>
          <w:ilvl w:val="1"/>
          <w:numId w:val="1025"/>
        </w:numPr>
      </w:pPr>
      <w:r>
        <w:t xml:space="preserve">Hỏi hãng có tham khảo các tiêu chuẩn, quy trình quốc tế trong quá trình xây dựng hay không.</w:t>
      </w:r>
    </w:p>
    <w:p>
      <w:pPr>
        <w:pStyle w:val="Compact"/>
        <w:numPr>
          <w:ilvl w:val="0"/>
          <w:numId w:val="1024"/>
        </w:numPr>
      </w:pPr>
      <w:r>
        <w:rPr>
          <w:b/>
          <w:bCs/>
        </w:rPr>
        <w:t xml:space="preserve">VNA trao đổi:</w:t>
      </w:r>
    </w:p>
    <w:p>
      <w:pPr>
        <w:pStyle w:val="Compact"/>
        <w:numPr>
          <w:ilvl w:val="1"/>
          <w:numId w:val="1026"/>
        </w:numPr>
      </w:pPr>
      <w:r>
        <w:t xml:space="preserve">Có tham khảo ở mức tổng quan cho một hãng hàng không; quy trình chi tiết tuân thủ theo chuẩn chung.</w:t>
      </w:r>
    </w:p>
    <w:p>
      <w:pPr>
        <w:pStyle w:val="Compact"/>
        <w:numPr>
          <w:ilvl w:val="0"/>
          <w:numId w:val="1024"/>
        </w:numPr>
      </w:pPr>
      <w:r>
        <w:rPr>
          <w:b/>
          <w:bCs/>
        </w:rPr>
        <w:t xml:space="preserve">Kết quả:</w:t>
      </w:r>
      <w:r>
        <w:t xml:space="preserve"> </w:t>
      </w:r>
      <w:r>
        <w:t xml:space="preserve">sử dụng các chuẩn quốc tế để tham khảo và giải thích, không thay thế yêu cầu thực tế của hãng.</w:t>
      </w:r>
    </w:p>
    <w:bookmarkEnd w:id="59"/>
    <w:bookmarkEnd w:id="60"/>
    <w:bookmarkStart w:id="61"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Nội dung thống nhất</w:t>
            </w:r>
          </w:p>
        </w:tc>
      </w:tr>
      <w:tr>
        <w:tc>
          <w:tcPr/>
          <w:p>
            <w:pPr>
              <w:pStyle w:val="Compact"/>
            </w:pPr>
            <w:r>
              <w:t xml:space="preserve">1</w:t>
            </w:r>
          </w:p>
        </w:tc>
        <w:tc>
          <w:tcPr/>
          <w:p>
            <w:pPr>
              <w:pStyle w:val="Compact"/>
            </w:pPr>
            <w:r>
              <w:t xml:space="preserve">Tách bảo trì danh mục thành menu riêng</w:t>
            </w:r>
          </w:p>
        </w:tc>
      </w:tr>
      <w:tr>
        <w:tc>
          <w:tcPr/>
          <w:p>
            <w:pPr>
              <w:pStyle w:val="Compact"/>
            </w:pPr>
            <w:r>
              <w:t xml:space="preserve">2</w:t>
            </w:r>
          </w:p>
        </w:tc>
        <w:tc>
          <w:tcPr/>
          <w:p>
            <w:pPr>
              <w:pStyle w:val="Compact"/>
            </w:pPr>
            <w:r>
              <w:t xml:space="preserve">Phân quyền theo chức năng; dùng chung một màn hình, ẩn/hiện cột và nút theo quyền</w:t>
            </w:r>
          </w:p>
        </w:tc>
      </w:tr>
      <w:tr>
        <w:tc>
          <w:tcPr/>
          <w:p>
            <w:pPr>
              <w:pStyle w:val="Compact"/>
            </w:pPr>
            <w:r>
              <w:t xml:space="preserve">3</w:t>
            </w:r>
          </w:p>
        </w:tc>
        <w:tc>
          <w:tcPr/>
          <w:p>
            <w:pPr>
              <w:pStyle w:val="Compact"/>
            </w:pPr>
            <w:r>
              <w:t xml:space="preserve">Tải tài liệu hàng loạt theo khu vực riêng, tự gắn theo tên tệp; vẫn giữ tải thủ công</w:t>
            </w:r>
          </w:p>
        </w:tc>
      </w:tr>
      <w:tr>
        <w:tc>
          <w:tcPr/>
          <w:p>
            <w:pPr>
              <w:pStyle w:val="Compact"/>
            </w:pPr>
            <w:r>
              <w:t xml:space="preserve">4</w:t>
            </w:r>
          </w:p>
        </w:tc>
        <w:tc>
          <w:tcPr/>
          <w:p>
            <w:pPr>
              <w:pStyle w:val="Compact"/>
            </w:pPr>
            <w:r>
              <w:t xml:space="preserve">Tài liệu từ hệ thống ngoài lưu tối đa ba ngày rồi xóa</w:t>
            </w:r>
          </w:p>
        </w:tc>
      </w:tr>
      <w:tr>
        <w:tc>
          <w:tcPr/>
          <w:p>
            <w:pPr>
              <w:pStyle w:val="Compact"/>
            </w:pPr>
            <w:r>
              <w:t xml:space="preserve">5</w:t>
            </w:r>
          </w:p>
        </w:tc>
        <w:tc>
          <w:tcPr/>
          <w:p>
            <w:pPr>
              <w:pStyle w:val="Compact"/>
            </w:pPr>
            <w:r>
              <w:t xml:space="preserve">Giám sát dữ liệu là báo cáo độ phủ và độ chính xác, tách màn riêng</w:t>
            </w:r>
          </w:p>
        </w:tc>
      </w:tr>
      <w:tr>
        <w:tc>
          <w:tcPr/>
          <w:p>
            <w:pPr>
              <w:pStyle w:val="Compact"/>
            </w:pPr>
            <w:r>
              <w:t xml:space="preserve">6</w:t>
            </w:r>
          </w:p>
        </w:tc>
        <w:tc>
          <w:tcPr/>
          <w:p>
            <w:pPr>
              <w:pStyle w:val="Compact"/>
            </w:pPr>
            <w:r>
              <w:t xml:space="preserve">Quản lý tàu bay theo hình thức sở hữu và thuê, kèm lịch sử và phân nhóm đội tàu</w:t>
            </w:r>
          </w:p>
        </w:tc>
      </w:tr>
    </w:tbl>
    <w:bookmarkEnd w:id="61"/>
    <w:bookmarkStart w:id="62" w:name="iv.-vấn-đề-cần-làm-rõ"/>
    <w:p>
      <w:pPr>
        <w:pStyle w:val="Heading2"/>
      </w:pPr>
      <w:r>
        <w:t xml:space="preserve">IV. Vấn đề cần làm rõ</w:t>
      </w:r>
    </w:p>
    <w:p>
      <w:pPr>
        <w:pStyle w:val="Compact"/>
        <w:numPr>
          <w:ilvl w:val="0"/>
          <w:numId w:val="1027"/>
        </w:numPr>
      </w:pPr>
      <w:r>
        <w:t xml:space="preserve">Phân biệt tài liệu khi tải hàng loạt theo tên tệp hay theo nội dung.</w:t>
      </w:r>
    </w:p>
    <w:p>
      <w:pPr>
        <w:pStyle w:val="Compact"/>
        <w:numPr>
          <w:ilvl w:val="0"/>
          <w:numId w:val="1027"/>
        </w:numPr>
      </w:pPr>
      <w:r>
        <w:t xml:space="preserve">Đơn vị nhiên liệu trong điện văn theo từng giai đoạn và từng tàu.</w:t>
      </w:r>
    </w:p>
    <w:p>
      <w:pPr>
        <w:pStyle w:val="Compact"/>
        <w:numPr>
          <w:ilvl w:val="0"/>
          <w:numId w:val="1027"/>
        </w:numPr>
      </w:pPr>
      <w:r>
        <w:t xml:space="preserve">Nguồn của danh mục dịch vụ sân bay hiện đang quản lý thủ công.</w:t>
      </w:r>
    </w:p>
    <w:p>
      <w:pPr>
        <w:pStyle w:val="Compact"/>
        <w:numPr>
          <w:ilvl w:val="0"/>
          <w:numId w:val="1027"/>
        </w:numPr>
      </w:pPr>
      <w:r>
        <w:t xml:space="preserve">Danh sách người dự, vai trò và thẩm quyền quyết định.</w:t>
      </w:r>
    </w:p>
    <w:bookmarkEnd w:id="62"/>
    <w:bookmarkStart w:id="63" w:name="v.-kết-luận-và-kế-hoạch-tiếp-theo"/>
    <w:p>
      <w:pPr>
        <w:pStyle w:val="Heading2"/>
      </w:pPr>
      <w:r>
        <w:t xml:space="preserve">V. Kết luận và kế hoạch tiếp theo</w:t>
      </w:r>
    </w:p>
    <w:p>
      <w:pPr>
        <w:pStyle w:val="FirstParagraph"/>
      </w:pPr>
      <w:r>
        <w:t xml:space="preserve">Buổi khảo sát đã chốt được khung danh mục chức năng, mô hình phân quyền, nghiệp vụ cân bằng tải và định hướng quản lý tàu bay, sân bay cùng phương án lưu trữ tài liệu. Bước tiếp theo là tổ chức buổi khảo sát chuyên đề về luồng tài liệu và điện văn từ tàu bay, định nghĩa cách phân nhóm đội tàu phục vụ báo cáo, và lập danh mục dịch vụ sân bay.</w:t>
      </w:r>
    </w:p>
    <w:p>
      <w:r>
        <w:pict>
          <v:rect style="width:0;height:1.5pt" o:hralign="center" o:hrstd="t" o:hr="t"/>
        </w:pict>
      </w:r>
    </w:p>
    <w:p>
      <w:pPr>
        <w:pStyle w:val="FirstParagraph"/>
      </w:pPr>
      <w:r>
        <w:rPr>
          <w:i/>
          <w:iCs/>
        </w:rPr>
        <w:t xml:space="preserve">Báo cáo lập trên cơ sở ghi nhận tại buổi làm việc; một số nội dung kỹ thuật cần đối chiếu lại với người dự họp trước khi sử dụng làm căn cứ chính thức.</w:t>
      </w:r>
    </w:p>
    <w:p>
      <w:r>
        <w:pict>
          <v:rect style="width:0;height:1.5pt" o:hralign="center" o:hrstd="t" o:hr="t"/>
        </w:pict>
      </w:r>
    </w:p>
    <w:bookmarkEnd w:id="63"/>
    <w:bookmarkEnd w:id="64"/>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2026-06-09T14:42:23Z</dcterms:created>
  <dcterms:modified xsi:type="dcterms:W3CDTF">2026-06-09T14:42:23Z</dcterms:modified>
</cp:coreProperties>
</file>

<file path=docProps/custom.xml><?xml version="1.0" encoding="utf-8"?>
<Properties xmlns="http://schemas.openxmlformats.org/officeDocument/2006/custom-properties" xmlns:vt="http://schemas.openxmlformats.org/officeDocument/2006/docPropsVTypes"/>
</file>