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Giao dịch (Transaction).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Danh mục: (category)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Thu: (income)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Tiền lương (Theo tháng). (Salary).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Tiền thưởng. (Gift)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Tiền lãi. (Interest Money)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Bán đồ. (Selling)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Khoản khác. (Others)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Tạo mới danh mục (New Income category)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 (Expense)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Hóa đơn (Bill &amp; Utilities)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Giao thông (Transportation)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Mua sắm (Shopping)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Giải trí (Entertainment)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lịch (Travel)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Sức khỏe (Health &amp; Fitness)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Đầu tư (Investment) (Đầu tư vào cái gì).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Giáo dục (Education)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Bảo hiểm (Insurances)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Khoản khác (Others)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Tạo mới danh mục (New Expense category)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Nợ &amp; Cho mượn (Debt &amp; Loan)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Nợ (Debt)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 mượn (Loan)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Ngày tháng.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Số tiền.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Ghi chú.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2. Ví tiền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Tạo ví tiền. (Gợi ý)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Xem thông tin ví tiền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Xem/chỉnh sửa giao dịch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Số dư.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Thống kê theo tháng ví tiền.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Tùy chọn liên kết với ngân hàng (Hỏi thầy).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Chỉnh sửa thông tin ví tiền.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3. </w:t>
        <w:tab/>
        <w:t xml:space="preserve">Thống kê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4.  Tiền tiết kiệm.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Tạo mục tiêu (Tên mục tiêu, số tiền, chọn ví tiền, ngày bắt đầu, ngày kết thúc)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Nhắc nhở, thông báo, theo dõi. (ng dùng chọn).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Chỉnh sửa/xóa mục tiêu.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Xem lịch sử.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5. Kế hoạch chi tiêu từng tháng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Tạo kế hoạch. (Hiển thị danh mục chi tiêu và trả nợ, người dùng tự điền,)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Tính toán =&gt; theo dõi, nhắc nhở, thông báo.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6. Đầu tư.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Thêm đầu tư.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Xem thông tin.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Thống kê.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7. Thanh toán trực tuyến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8. Tùy chọn liên kết với tài khoản ngân hàng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