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dự án và phần việc cá nhân</w:t>
      </w:r>
    </w:p>
    <w:p>
      <w:pPr>
        <w:pStyle w:val="Subtitle"/>
      </w:pPr>
      <w:r>
        <w:t>Hệ thống quản lý bán hàng và kho</w:t>
      </w:r>
    </w:p>
    <w:p>
      <w:pPr>
        <w:widowControl/>
      </w:pPr>
      <w:r>
        <w:rPr>
          <w:b/>
        </w:rPr>
        <w:t>Sinh viên: Trương Văn Đức Trung</w:t>
      </w:r>
    </w:p>
    <w:p>
      <w:pPr>
        <w:widowControl/>
      </w:pPr>
      <w:r>
        <w:rPr>
          <w:b w:val="0"/>
        </w:rPr>
        <w:t>Ngày biên soạn: 21/10/2026  |  Dự án Jira: TTCS_T926_K11C2_N5 / SCRUM</w:t>
      </w:r>
    </w:p>
    <w:p>
      <w:pPr>
        <w:widowControl/>
      </w:pPr>
      <w:r>
        <w:rPr>
          <w:b w:val="0"/>
        </w:rPr>
        <w:t>Báo cáo trình bày mục tiêu của hệ thống, các nhiệm vụ em được phân công, luồng xử lý nghiệp vụ và bằng chứng kiểm thử đã lưu. Phạm vi tập trung vào quy đổi đơn vị, điểm giao hàng, kiểm soát tồn khả dụng, sổ tồn và Epic trả hàng, điều chỉnh.</w:t>
      </w:r>
    </w:p>
    <w:p>
      <w:pPr>
        <w:pStyle w:val="Heading2"/>
      </w:pPr>
      <w:r>
        <w:t>Mục tiêu của dự án</w:t>
      </w:r>
    </w:p>
    <w:p>
      <w:pPr>
        <w:widowControl/>
      </w:pPr>
      <w:r>
        <w:rPr>
          <w:b w:val="0"/>
        </w:rPr>
        <w:t>Hệ thống hỗ trợ doanh nghiệp quản lý sản phẩm, đại lý, đơn hàng và vận động hàng hóa theo kho. Các bộ phận kinh doanh, kho và kế toán sử dụng dữ liệu chung nhưng được phân quyền theo chức năng và phạm vi. Số lượng được thống nhất về đơn vị cơ sở để việc tính tồn, giữ hàng và ghi nhận giao dịch có thể đối chiếu.</w:t>
      </w:r>
    </w:p>
    <w:p>
      <w:pPr>
        <w:pStyle w:val="Heading2"/>
      </w:pPr>
      <w:r>
        <w:t>Công nghệ và vai trò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384"/>
        <w:gridCol w:w="5184"/>
      </w:tblGrid>
      <w:tr>
        <w:trPr>
          <w:cantSplit/>
          <w:tblHeader w:val="true"/>
        </w:trPr>
        <w:tc>
          <w:tcPr>
            <w:tcW w:type="dxa" w:w="1512"/>
            <w:vAlign w:val="center"/>
            <w:tcMar>
              <w:top w:w="90" w:type="dxa"/>
              <w:bottom w:w="90" w:type="dxa"/>
              <w:left w:w="110" w:type="dxa"/>
              <w:right w:w="110" w:type="dxa"/>
            </w:tcMar>
            <w:shd w:fill="203B53"/>
          </w:tcPr>
          <w:p>
            <w:pPr>
              <w:spacing w:after="0" w:line="257" w:lineRule="auto"/>
            </w:pPr>
            <w:r>
              <w:rPr>
                <w:rFonts w:ascii="Arial" w:hAnsi="Arial"/>
                <w:b/>
                <w:color w:val="FFFFFF"/>
                <w:sz w:val="20"/>
              </w:rPr>
              <w:t>Thành phần</w:t>
            </w:r>
          </w:p>
        </w:tc>
        <w:tc>
          <w:tcPr>
            <w:tcW w:type="dxa" w:w="3384"/>
            <w:vAlign w:val="center"/>
            <w:tcMar>
              <w:top w:w="90" w:type="dxa"/>
              <w:bottom w:w="90" w:type="dxa"/>
              <w:left w:w="110" w:type="dxa"/>
              <w:right w:w="110" w:type="dxa"/>
            </w:tcMar>
            <w:shd w:fill="203B53"/>
          </w:tcPr>
          <w:p>
            <w:pPr>
              <w:spacing w:after="0" w:line="257" w:lineRule="auto"/>
            </w:pPr>
            <w:r>
              <w:rPr>
                <w:rFonts w:ascii="Arial" w:hAnsi="Arial"/>
                <w:b/>
                <w:color w:val="FFFFFF"/>
                <w:sz w:val="20"/>
              </w:rPr>
              <w:t>Công nghệ trong bản được đối chiếu</w:t>
            </w:r>
          </w:p>
        </w:tc>
        <w:tc>
          <w:tcPr>
            <w:tcW w:type="dxa" w:w="5184"/>
            <w:vAlign w:val="center"/>
            <w:tcMar>
              <w:top w:w="90" w:type="dxa"/>
              <w:bottom w:w="90" w:type="dxa"/>
              <w:left w:w="110" w:type="dxa"/>
              <w:right w:w="110" w:type="dxa"/>
            </w:tcMar>
            <w:shd w:fill="203B53"/>
          </w:tcPr>
          <w:p>
            <w:pPr>
              <w:spacing w:after="0" w:line="257" w:lineRule="auto"/>
            </w:pPr>
            <w:r>
              <w:rPr>
                <w:rFonts w:ascii="Arial" w:hAnsi="Arial"/>
                <w:b/>
                <w:color w:val="FFFFFF"/>
                <w:sz w:val="20"/>
              </w:rPr>
              <w:t>Vai trò</w:t>
            </w:r>
          </w:p>
        </w:tc>
      </w:tr>
      <w:tr>
        <w:trPr>
          <w:cantSplit/>
        </w:trPr>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Ứng dụng web</w:t>
            </w:r>
          </w:p>
        </w:tc>
        <w:tc>
          <w:tcPr>
            <w:tcW w:type="dxa" w:w="338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Java 17, Jakarta Servlet, JSP/JSTL</w:t>
            </w:r>
          </w:p>
        </w:tc>
        <w:tc>
          <w:tcPr>
            <w:tcW w:type="dxa" w:w="518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Servlet nhận yêu cầu; Service xử lý nghiệp vụ; JSP dựng giao diện.</w:t>
            </w:r>
          </w:p>
        </w:tc>
      </w:tr>
      <w:tr>
        <w:trPr>
          <w:cantSplit/>
        </w:trPr>
        <w:tc>
          <w:tcPr>
            <w:tcW w:type="dxa" w:w="151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Dữ liệu</w:t>
            </w:r>
          </w:p>
        </w:tc>
        <w:tc>
          <w:tcPr>
            <w:tcW w:type="dxa" w:w="338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JDBC, MySQL, HikariCP, Flyway</w:t>
            </w:r>
          </w:p>
        </w:tc>
        <w:tc>
          <w:tcPr>
            <w:tcW w:type="dxa" w:w="518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Truy vấn có tham số, giao dịch, pool kết nối và quản lý migration.</w:t>
            </w:r>
          </w:p>
        </w:tc>
      </w:tr>
      <w:tr>
        <w:trPr>
          <w:cantSplit/>
        </w:trPr>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Giao diện</w:t>
            </w:r>
          </w:p>
        </w:tc>
        <w:tc>
          <w:tcPr>
            <w:tcW w:type="dxa" w:w="338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HTML, JavaScript, Tailwind CSS</w:t>
            </w:r>
          </w:p>
        </w:tc>
        <w:tc>
          <w:tcPr>
            <w:tcW w:type="dxa" w:w="518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Biểu mẫu, tra cứu, hiển thị lỗi và bố cục thích ứng.</w:t>
            </w:r>
          </w:p>
        </w:tc>
      </w:tr>
      <w:tr>
        <w:trPr>
          <w:cantSplit/>
        </w:trPr>
        <w:tc>
          <w:tcPr>
            <w:tcW w:type="dxa" w:w="151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Build và chạy</w:t>
            </w:r>
          </w:p>
        </w:tc>
        <w:tc>
          <w:tcPr>
            <w:tcW w:type="dxa" w:w="338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Maven Wrapper, WAR, Tomcat 10.1; Docker cho dịch vụ phụ trợ</w:t>
            </w:r>
          </w:p>
        </w:tc>
        <w:tc>
          <w:tcPr>
            <w:tcW w:type="dxa" w:w="518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Build ứng dụng; chạy MySQL và Mailpit trong môi trường local.</w:t>
            </w:r>
          </w:p>
        </w:tc>
      </w:tr>
      <w:tr>
        <w:trPr>
          <w:cantSplit/>
        </w:trPr>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Kiểm thử</w:t>
            </w:r>
          </w:p>
        </w:tc>
        <w:tc>
          <w:tcPr>
            <w:tcW w:type="dxa" w:w="338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JUnit, Mockito, AssertJ, Testcontainers</w:t>
            </w:r>
          </w:p>
        </w:tc>
        <w:tc>
          <w:tcPr>
            <w:tcW w:type="dxa" w:w="518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Kiểm tra từng thành phần và tích hợp với MySQL trong container.</w:t>
            </w:r>
          </w:p>
        </w:tc>
      </w:tr>
    </w:tbl>
    <w:p>
      <w:pPr>
        <w:spacing w:after="0"/>
      </w:pPr>
    </w:p>
    <w:p>
      <w:pPr>
        <w:pStyle w:val="Heading2"/>
      </w:pPr>
      <w:r>
        <w:t>Luồng xử lý tổng quát</w:t>
      </w:r>
    </w:p>
    <w:p>
      <w:pPr>
        <w:widowControl/>
      </w:pPr>
      <w:r>
        <w:rPr>
          <w:b w:val="0"/>
        </w:rPr>
        <w:t>Trình duyệt gửi HTTP → Filter kiểm tra theo tuyến → Servlet điều phối → Service kiểm nghiệp vụ và quyền → Sql/JDBC truy cập MySQL → JSP hoặc chuyển hướng trả kết quả. Các POST thuộc PortalServlet còn được kiểm tra CSRF trước xử lý.</w:t>
      </w:r>
    </w:p>
    <w:p>
      <w:pPr>
        <w:widowControl/>
      </w:pPr>
      <w:r>
        <w:rPr>
          <w:b w:val="0"/>
        </w:rPr>
        <w:t>Căn cứ chính là hồ sơ đối chiếu ngày 17/10/2026 và mã nguồn commit d0d2208. Tài liệu này không phải một lần kiểm thử mới ngày 21/10 và không xác nhận trạng thái hiện tại của môi trường public.</w:t>
      </w:r>
    </w:p>
    <w:p>
      <w:r>
        <w:br w:type="page"/>
      </w:r>
    </w:p>
    <w:p>
      <w:pPr>
        <w:pStyle w:val="Heading1"/>
      </w:pPr>
      <w:r>
        <w:t>1 Phạm vi phần việc của em</w:t>
      </w:r>
    </w:p>
    <w:p>
      <w:pPr>
        <w:widowControl/>
      </w:pPr>
      <w:r>
        <w:rPr>
          <w:b w:val="0"/>
        </w:rPr>
        <w:t>Theo lần đối chiếu Jira ngày 17/10/2026, tài khoản TRUONG VAN DUC TRUNG được giao 9 mục: 4 Feature, 4 subtask BE/FE của S2-07 và S3-04, cùng 1 Epic. Bảng dưới gom các mục theo nhóm chức năng để trình bày.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512"/>
        <w:gridCol w:w="5544"/>
      </w:tblGrid>
      <w:tr>
        <w:trPr>
          <w:cantSplit/>
          <w:tblHeader w:val="true"/>
        </w:trPr>
        <w:tc>
          <w:tcPr>
            <w:tcW w:type="dxa" w:w="3024"/>
            <w:vAlign w:val="center"/>
            <w:tcMar>
              <w:top w:w="90" w:type="dxa"/>
              <w:bottom w:w="90" w:type="dxa"/>
              <w:left w:w="110" w:type="dxa"/>
              <w:right w:w="110" w:type="dxa"/>
            </w:tcMar>
            <w:shd w:fill="203B53"/>
          </w:tcPr>
          <w:p>
            <w:pPr>
              <w:spacing w:after="0" w:line="257" w:lineRule="auto"/>
            </w:pPr>
            <w:r>
              <w:rPr>
                <w:rFonts w:ascii="Arial" w:hAnsi="Arial"/>
                <w:b/>
                <w:color w:val="FFFFFF"/>
                <w:sz w:val="20"/>
              </w:rPr>
              <w:t>Nhóm nhiệm vụ</w:t>
            </w:r>
          </w:p>
        </w:tc>
        <w:tc>
          <w:tcPr>
            <w:tcW w:type="dxa" w:w="1512"/>
            <w:vAlign w:val="center"/>
            <w:tcMar>
              <w:top w:w="90" w:type="dxa"/>
              <w:bottom w:w="90" w:type="dxa"/>
              <w:left w:w="110" w:type="dxa"/>
              <w:right w:w="110" w:type="dxa"/>
            </w:tcMar>
            <w:shd w:fill="203B53"/>
          </w:tcPr>
          <w:p>
            <w:pPr>
              <w:spacing w:after="0" w:line="257" w:lineRule="auto"/>
            </w:pPr>
            <w:r>
              <w:rPr>
                <w:rFonts w:ascii="Arial" w:hAnsi="Arial"/>
                <w:b/>
                <w:color w:val="FFFFFF"/>
                <w:sz w:val="20"/>
              </w:rPr>
              <w:t>Mã Jira</w:t>
            </w:r>
          </w:p>
        </w:tc>
        <w:tc>
          <w:tcPr>
            <w:tcW w:type="dxa" w:w="5544"/>
            <w:vAlign w:val="center"/>
            <w:tcMar>
              <w:top w:w="90" w:type="dxa"/>
              <w:bottom w:w="90" w:type="dxa"/>
              <w:left w:w="110" w:type="dxa"/>
              <w:right w:w="110" w:type="dxa"/>
            </w:tcMar>
            <w:shd w:fill="203B53"/>
          </w:tcPr>
          <w:p>
            <w:pPr>
              <w:spacing w:after="0" w:line="257" w:lineRule="auto"/>
            </w:pPr>
            <w:r>
              <w:rPr>
                <w:rFonts w:ascii="Arial" w:hAnsi="Arial"/>
                <w:b/>
                <w:color w:val="FFFFFF"/>
                <w:sz w:val="20"/>
              </w:rPr>
              <w:t>Phạm vi cần phụ trách và giải thích</w:t>
            </w:r>
          </w:p>
        </w:tc>
      </w:tr>
      <w:tr>
        <w:trPr>
          <w:cantSplit/>
        </w:trPr>
        <w:tc>
          <w:tcPr>
            <w:tcW w:type="dxa" w:w="302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S2-07  Đơn vị tính và hệ số quy đổi</w:t>
            </w:r>
          </w:p>
        </w:tc>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SCRUM-33</w:t>
              <w:br/>
              <w:t>BE 126</w:t>
              <w:br/>
              <w:t>FE 127</w:t>
            </w:r>
          </w:p>
        </w:tc>
        <w:tc>
          <w:tcPr>
            <w:tcW w:type="dxa" w:w="554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Nhiều đơn vị cho một SKU; quy đổi về cơ sở; hệ số theo kho và bảo toàn lịch sử.</w:t>
            </w:r>
          </w:p>
        </w:tc>
      </w:tr>
      <w:tr>
        <w:trPr>
          <w:cantSplit/>
        </w:trPr>
        <w:tc>
          <w:tcPr>
            <w:tcW w:type="dxa" w:w="302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S3-04  Nhiều điểm giao hàng cho đại lý</w:t>
            </w:r>
          </w:p>
        </w:tc>
        <w:tc>
          <w:tcPr>
            <w:tcW w:type="dxa" w:w="151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SCRUM-40</w:t>
              <w:br/>
              <w:t>BE 140</w:t>
              <w:br/>
              <w:t>FE 141</w:t>
            </w:r>
          </w:p>
        </w:tc>
        <w:tc>
          <w:tcPr>
            <w:tcW w:type="dxa" w:w="554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Thông tin điểm giao, mặc định duy nhất, đúng đại lý và bản chụp địa chỉ trên đơn.</w:t>
            </w:r>
          </w:p>
        </w:tc>
      </w:tr>
      <w:tr>
        <w:trPr>
          <w:cantSplit/>
        </w:trPr>
        <w:tc>
          <w:tcPr>
            <w:tcW w:type="dxa" w:w="302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S4-03  Tồn khả dụng và chặn vượt tồn</w:t>
            </w:r>
          </w:p>
        </w:tc>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SCRUM-49</w:t>
            </w:r>
          </w:p>
        </w:tc>
        <w:tc>
          <w:tcPr>
            <w:tcW w:type="dxa" w:w="554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Quy đổi và cộng nhu cầu cùng SKU; kiểm khả dụng và giữ hàng nhất quán khi đồng thời.</w:t>
            </w:r>
          </w:p>
        </w:tc>
      </w:tr>
      <w:tr>
        <w:trPr>
          <w:cantSplit/>
        </w:trPr>
        <w:tc>
          <w:tcPr>
            <w:tcW w:type="dxa" w:w="302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S5-05  Sổ tồn theo SKU và kho</w:t>
            </w:r>
          </w:p>
        </w:tc>
        <w:tc>
          <w:tcPr>
            <w:tcW w:type="dxa" w:w="151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SCRUM-61</w:t>
            </w:r>
          </w:p>
        </w:tc>
        <w:tc>
          <w:tcPr>
            <w:tcW w:type="dxa" w:w="554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Tra cứu tồn, lọc dữ liệu, thẻ kho và quyền xem theo kho, vai trò.</w:t>
            </w:r>
          </w:p>
        </w:tc>
      </w:tr>
      <w:tr>
        <w:trPr>
          <w:cantSplit/>
        </w:trPr>
        <w:tc>
          <w:tcPr>
            <w:tcW w:type="dxa" w:w="302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EP-08  Trả hàng và điều chỉnh</w:t>
            </w:r>
          </w:p>
        </w:tc>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SCRUM-15</w:t>
            </w:r>
          </w:p>
        </w:tc>
        <w:tc>
          <w:tcPr>
            <w:tcW w:type="dxa" w:w="554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Nắm luồng trả theo hóa đơn, nhận thực tế và giảm trừ; theo dõi phần điều chỉnh chưa hoàn tất.</w:t>
            </w:r>
          </w:p>
        </w:tc>
      </w:tr>
    </w:tbl>
    <w:p>
      <w:pPr>
        <w:spacing w:after="0"/>
      </w:pPr>
    </w:p>
    <w:p>
      <w:pPr>
        <w:pStyle w:val="Heading2"/>
      </w:pPr>
      <w:r>
        <w:t>Phân biệt BE và FE trong phần việc</w:t>
      </w:r>
    </w:p>
    <w:p>
      <w:pPr>
        <w:widowControl/>
      </w:pPr>
      <w:r>
        <w:rPr>
          <w:b w:val="0"/>
        </w:rPr>
        <w:t>Với S2-07 và S3-04, hồ sơ phân công có cả subtask BE và FE. BE xử lý quy tắc nghiệp vụ, dữ liệu, quyền và giao dịch; FE cung cấp biểu mẫu, danh sách, tìm kiếm và phản hồi cho người dùng. Trong dự án Servlet/JSP này, JSP và JavaScript tham gia giao diện, còn Servlet, Service và lớp truy cập dữ liệu tham gia xử lý phía server.</w:t>
      </w:r>
    </w:p>
    <w:p>
      <w:pPr>
        <w:widowControl/>
      </w:pPr>
      <w:r>
        <w:rPr>
          <w:b w:val="0"/>
        </w:rPr>
        <w:t>Kiểm thử là hoạt động cần có để xác minh phần việc, không có nghĩa vai trò của em chỉ là Tester. Với S4-03 và S5-05, tài liệu đã lưu xác nhận phân công ở cấp Feature; không tự suy ra em được giao mọi subtask của các module liên quan.</w:t>
      </w:r>
    </w:p>
    <w:p>
      <w:pPr>
        <w:pStyle w:val="Heading2"/>
      </w:pPr>
      <w:r>
        <w:t>Cách trình bày đóng góp cá nhân</w:t>
      </w:r>
    </w:p>
    <w:p>
      <w:pPr>
        <w:widowControl/>
      </w:pPr>
      <w:r>
        <w:rPr>
          <w:b w:val="0"/>
        </w:rPr>
        <w:t>Em trình bày trách nhiệm theo ticket, chỉ ra file hoặc commit liên quan và nêu phần kiểm tra có bằng chứng. Việc được giao một Feature hoặc Epic không đồng nghĩa toàn bộ mã nguồn của module do một mình em viết. Các story con của EP-08 còn có người phụ trách khác.</w:t>
      </w:r>
    </w:p>
    <w:p>
      <w:pPr>
        <w:widowControl/>
      </w:pPr>
      <w:r>
        <w:rPr>
          <w:b w:val="0"/>
        </w:rPr>
        <w:t>Ví dụ mốc truy vết đã lưu: 3d8d851 cho quy đổi theo kho và snapshot; e3288d6 cho điểm giao và lịch sử địa chỉ; 0ea13fc cho chuẩn hóa điện thoại. Khi đánh giá tác giả và khối lượng đóng góp, cần đọc diff và ngữ cảnh từng commit.</w:t>
      </w:r>
    </w:p>
    <w:p>
      <w:r>
        <w:br w:type="page"/>
      </w:r>
    </w:p>
    <w:p>
      <w:pPr>
        <w:pStyle w:val="Heading1"/>
      </w:pPr>
      <w:r>
        <w:t>2 Đơn vị tính và hệ số quy đổi</w:t>
      </w:r>
    </w:p>
    <w:p>
      <w:pPr>
        <w:widowControl/>
      </w:pPr>
      <w:r>
        <w:rPr>
          <w:b w:val="0"/>
        </w:rPr>
        <w:t>S2-07 / SCRUM-33 giải quyết việc cùng một SKU có thể nhập hoặc bán theo lon, lốc, thùng nhưng cần quản lý số lượng bằng một đơn vị thống nhất. SKU là mã định danh mặt hàng; hệ số phải thuộc đúng sản phẩm và phạm vi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160"/>
        <w:gridCol w:w="5976"/>
      </w:tblGrid>
      <w:tr>
        <w:trPr>
          <w:cantSplit/>
          <w:tblHeader w:val="true"/>
        </w:trPr>
        <w:tc>
          <w:tcPr>
            <w:tcW w:type="dxa" w:w="1944"/>
            <w:vAlign w:val="center"/>
            <w:tcMar>
              <w:top w:w="90" w:type="dxa"/>
              <w:bottom w:w="90" w:type="dxa"/>
              <w:left w:w="110" w:type="dxa"/>
              <w:right w:w="110" w:type="dxa"/>
            </w:tcMar>
            <w:shd w:fill="203B53"/>
          </w:tcPr>
          <w:p>
            <w:pPr>
              <w:spacing w:after="0" w:line="257" w:lineRule="auto"/>
            </w:pPr>
            <w:r>
              <w:rPr>
                <w:rFonts w:ascii="Arial" w:hAnsi="Arial"/>
                <w:b/>
                <w:color w:val="FFFFFF"/>
                <w:sz w:val="20"/>
              </w:rPr>
              <w:t>Đơn vị ví dụ</w:t>
            </w:r>
          </w:p>
        </w:tc>
        <w:tc>
          <w:tcPr>
            <w:tcW w:type="dxa" w:w="2160"/>
            <w:vAlign w:val="center"/>
            <w:tcMar>
              <w:top w:w="90" w:type="dxa"/>
              <w:bottom w:w="90" w:type="dxa"/>
              <w:left w:w="110" w:type="dxa"/>
              <w:right w:w="110" w:type="dxa"/>
            </w:tcMar>
            <w:shd w:fill="203B53"/>
          </w:tcPr>
          <w:p>
            <w:pPr>
              <w:spacing w:after="0" w:line="257" w:lineRule="auto"/>
            </w:pPr>
            <w:r>
              <w:rPr>
                <w:rFonts w:ascii="Arial" w:hAnsi="Arial"/>
                <w:b/>
                <w:color w:val="FFFFFF"/>
                <w:sz w:val="20"/>
              </w:rPr>
              <w:t>Hệ số về Lon</w:t>
            </w:r>
          </w:p>
        </w:tc>
        <w:tc>
          <w:tcPr>
            <w:tcW w:type="dxa" w:w="5976"/>
            <w:vAlign w:val="center"/>
            <w:tcMar>
              <w:top w:w="90" w:type="dxa"/>
              <w:bottom w:w="90" w:type="dxa"/>
              <w:left w:w="110" w:type="dxa"/>
              <w:right w:w="110" w:type="dxa"/>
            </w:tcMar>
            <w:shd w:fill="203B53"/>
          </w:tcPr>
          <w:p>
            <w:pPr>
              <w:spacing w:after="0" w:line="257" w:lineRule="auto"/>
            </w:pPr>
            <w:r>
              <w:rPr>
                <w:rFonts w:ascii="Arial" w:hAnsi="Arial"/>
                <w:b/>
                <w:color w:val="FFFFFF"/>
                <w:sz w:val="20"/>
              </w:rPr>
              <w:t>Ví dụ quy đổi</w:t>
            </w:r>
          </w:p>
        </w:tc>
      </w:tr>
      <w:tr>
        <w:trPr>
          <w:cantSplit/>
        </w:trPr>
        <w:tc>
          <w:tcPr>
            <w:tcW w:type="dxa" w:w="194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Lon</w:t>
            </w:r>
          </w:p>
        </w:tc>
        <w:tc>
          <w:tcPr>
            <w:tcW w:type="dxa" w:w="2160"/>
            <w:vAlign w:val="center"/>
            <w:tcMar>
              <w:top w:w="90" w:type="dxa"/>
              <w:bottom w:w="90" w:type="dxa"/>
              <w:left w:w="110" w:type="dxa"/>
              <w:right w:w="110" w:type="dxa"/>
            </w:tcMar>
            <w:shd w:fill="FFFFFF"/>
          </w:tcPr>
          <w:p>
            <w:pPr>
              <w:spacing w:after="0" w:line="257" w:lineRule="auto"/>
            </w:pPr>
            <w:r>
              <w:rPr>
                <w:rFonts w:ascii="Arial" w:hAnsi="Arial"/>
                <w:b w:val="0"/>
                <w:color w:val="000000"/>
                <w:sz w:val="20"/>
              </w:rPr>
              <w:t>1</w:t>
            </w:r>
          </w:p>
        </w:tc>
        <w:tc>
          <w:tcPr>
            <w:tcW w:type="dxa" w:w="5976"/>
            <w:vAlign w:val="center"/>
            <w:tcMar>
              <w:top w:w="90" w:type="dxa"/>
              <w:bottom w:w="90" w:type="dxa"/>
              <w:left w:w="110" w:type="dxa"/>
              <w:right w:w="110" w:type="dxa"/>
            </w:tcMar>
            <w:shd w:fill="FFFFFF"/>
          </w:tcPr>
          <w:p>
            <w:pPr>
              <w:spacing w:after="0" w:line="257" w:lineRule="auto"/>
            </w:pPr>
            <w:r>
              <w:rPr>
                <w:rFonts w:ascii="Arial" w:hAnsi="Arial"/>
                <w:b w:val="0"/>
                <w:color w:val="000000"/>
                <w:sz w:val="20"/>
              </w:rPr>
              <w:t>5 lon = 5 đơn vị cơ sở</w:t>
            </w:r>
          </w:p>
        </w:tc>
      </w:tr>
      <w:tr>
        <w:trPr>
          <w:cantSplit/>
        </w:trPr>
        <w:tc>
          <w:tcPr>
            <w:tcW w:type="dxa" w:w="194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Lốc</w:t>
            </w:r>
          </w:p>
        </w:tc>
        <w:tc>
          <w:tcPr>
            <w:tcW w:type="dxa" w:w="2160"/>
            <w:vAlign w:val="center"/>
            <w:tcMar>
              <w:top w:w="90" w:type="dxa"/>
              <w:bottom w:w="90" w:type="dxa"/>
              <w:left w:w="110" w:type="dxa"/>
              <w:right w:w="110" w:type="dxa"/>
            </w:tcMar>
            <w:shd w:fill="F1F5F8"/>
          </w:tcPr>
          <w:p>
            <w:pPr>
              <w:spacing w:after="0" w:line="257" w:lineRule="auto"/>
            </w:pPr>
            <w:r>
              <w:rPr>
                <w:rFonts w:ascii="Arial" w:hAnsi="Arial"/>
                <w:b w:val="0"/>
                <w:color w:val="000000"/>
                <w:sz w:val="20"/>
              </w:rPr>
              <w:t>6</w:t>
            </w:r>
          </w:p>
        </w:tc>
        <w:tc>
          <w:tcPr>
            <w:tcW w:type="dxa" w:w="5976"/>
            <w:vAlign w:val="center"/>
            <w:tcMar>
              <w:top w:w="90" w:type="dxa"/>
              <w:bottom w:w="90" w:type="dxa"/>
              <w:left w:w="110" w:type="dxa"/>
              <w:right w:w="110" w:type="dxa"/>
            </w:tcMar>
            <w:shd w:fill="F1F5F8"/>
          </w:tcPr>
          <w:p>
            <w:pPr>
              <w:spacing w:after="0" w:line="257" w:lineRule="auto"/>
            </w:pPr>
            <w:r>
              <w:rPr>
                <w:rFonts w:ascii="Arial" w:hAnsi="Arial"/>
                <w:b w:val="0"/>
                <w:color w:val="000000"/>
                <w:sz w:val="20"/>
              </w:rPr>
              <w:t>2 lốc = 12 lon</w:t>
            </w:r>
          </w:p>
        </w:tc>
      </w:tr>
      <w:tr>
        <w:trPr>
          <w:cantSplit/>
        </w:trPr>
        <w:tc>
          <w:tcPr>
            <w:tcW w:type="dxa" w:w="194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Thùng</w:t>
            </w:r>
          </w:p>
        </w:tc>
        <w:tc>
          <w:tcPr>
            <w:tcW w:type="dxa" w:w="2160"/>
            <w:vAlign w:val="center"/>
            <w:tcMar>
              <w:top w:w="90" w:type="dxa"/>
              <w:bottom w:w="90" w:type="dxa"/>
              <w:left w:w="110" w:type="dxa"/>
              <w:right w:w="110" w:type="dxa"/>
            </w:tcMar>
            <w:shd w:fill="FFFFFF"/>
          </w:tcPr>
          <w:p>
            <w:pPr>
              <w:spacing w:after="0" w:line="257" w:lineRule="auto"/>
            </w:pPr>
            <w:r>
              <w:rPr>
                <w:rFonts w:ascii="Arial" w:hAnsi="Arial"/>
                <w:b w:val="0"/>
                <w:color w:val="000000"/>
                <w:sz w:val="20"/>
              </w:rPr>
              <w:t>24</w:t>
            </w:r>
          </w:p>
        </w:tc>
        <w:tc>
          <w:tcPr>
            <w:tcW w:type="dxa" w:w="5976"/>
            <w:vAlign w:val="center"/>
            <w:tcMar>
              <w:top w:w="90" w:type="dxa"/>
              <w:bottom w:w="90" w:type="dxa"/>
              <w:left w:w="110" w:type="dxa"/>
              <w:right w:w="110" w:type="dxa"/>
            </w:tcMar>
            <w:shd w:fill="FFFFFF"/>
          </w:tcPr>
          <w:p>
            <w:pPr>
              <w:spacing w:after="0" w:line="257" w:lineRule="auto"/>
            </w:pPr>
            <w:r>
              <w:rPr>
                <w:rFonts w:ascii="Arial" w:hAnsi="Arial"/>
                <w:b w:val="0"/>
                <w:color w:val="000000"/>
                <w:sz w:val="20"/>
              </w:rPr>
              <w:t>2 thùng = 48 lon</w:t>
            </w:r>
          </w:p>
        </w:tc>
      </w:tr>
    </w:tbl>
    <w:p>
      <w:pPr>
        <w:spacing w:after="0"/>
      </w:pPr>
    </w:p>
    <w:p>
      <w:pPr>
        <w:widowControl/>
      </w:pPr>
      <w:r>
        <w:rPr>
          <w:b/>
        </w:rPr>
        <w:t>Công thức: Số lượng cơ sở = Số lượng nhập × Hệ số quy đổi.</w:t>
      </w:r>
    </w:p>
    <w:p>
      <w:pPr>
        <w:pStyle w:val="Heading2"/>
      </w:pPr>
      <w:r>
        <w:t>Luồng thêm hoặc sửa đơn vị</w:t>
      </w:r>
    </w:p>
    <w:p>
      <w:pPr>
        <w:widowControl/>
        <w:spacing w:after="80"/>
        <w:ind w:left="173" w:hanging="173"/>
      </w:pPr>
      <w:r>
        <w:rPr>
          <w:b w:val="0"/>
        </w:rPr>
        <w:t>1. Người dùng chọn sản phẩm, kho, tên đơn vị và hệ số trên /catalog/units; gửi biểu mẫu kèm CSRF và version khi cần.</w:t>
      </w:r>
    </w:p>
    <w:p>
      <w:pPr>
        <w:widowControl/>
        <w:spacing w:after="80"/>
        <w:ind w:left="173" w:hanging="173"/>
      </w:pPr>
      <w:r>
        <w:rPr>
          <w:b w:val="0"/>
        </w:rPr>
        <w:t>2. UnitServlet đọc tham số; UnitService kiểm tên, hệ số dương, độ chính xác, quyền WAREHOUSE_MANAGE và kho được phân công.</w:t>
      </w:r>
    </w:p>
    <w:p>
      <w:pPr>
        <w:widowControl/>
        <w:spacing w:after="80"/>
        <w:ind w:left="173" w:hanging="173"/>
      </w:pPr>
      <w:r>
        <w:rPr>
          <w:b w:val="0"/>
        </w:rPr>
        <w:t>3. Trong transaction, Service kiểm trùng tên trong cùng SKU/kho, so phiên bản khi sửa, ghi dữ liệu và audit.</w:t>
      </w:r>
    </w:p>
    <w:p>
      <w:pPr>
        <w:widowControl/>
        <w:spacing w:after="80"/>
        <w:ind w:left="173" w:hanging="173"/>
      </w:pPr>
      <w:r>
        <w:rPr>
          <w:b w:val="0"/>
        </w:rPr>
        <w:t>4. Thành công thì commit và chuyển về danh sách; nếu dữ liệu sai hoặc phiên bản cũ thì trả lỗi phù hợp.</w:t>
      </w:r>
    </w:p>
    <w:p>
      <w:pPr>
        <w:pStyle w:val="Heading2"/>
      </w:pPr>
      <w:r>
        <w:t>Bảo toàn giao dịch cũ</w:t>
      </w:r>
    </w:p>
    <w:p>
      <w:pPr>
        <w:widowControl/>
      </w:pPr>
      <w:r>
        <w:rPr>
          <w:b w:val="0"/>
        </w:rPr>
        <w:t>Khi giao dịch được chốt, hệ thống lưu snapshot gồm tên đơn vị, hệ số, phiên bản, lượng nhập và lượng cơ sở. Nếu đơn cũ là 2 thùng với hệ số 24 thì vẫn giữ 48 lon sau khi danh mục đổi hệ số thành 30. Đơn nháp hoặc báo giá có thể được tính lại trước khi tiếp nhận; không coi mọi dữ liệu nháp là bất biến.</w:t>
      </w:r>
    </w:p>
    <w:p>
      <w:pPr>
        <w:widowControl/>
      </w:pPr>
      <w:r>
        <w:rPr>
          <w:b w:val="0"/>
        </w:rPr>
        <w:t>Java dùng BigDecimal cho phép tính thập phân. Đơn vị cơ sở có hệ số 1; không được tùy ý sửa hoặc xóa. Đơn vị đã được giao dịch tham chiếu cần được bảo vệ khi xóa.</w:t>
      </w:r>
    </w:p>
    <w:p>
      <w:pPr>
        <w:pStyle w:val="Heading2"/>
      </w:pPr>
      <w:r>
        <w:t>Các ca kiểm thử trọng tâm</w:t>
      </w:r>
    </w:p>
    <w:p>
      <w:pPr>
        <w:pStyle w:val="ListBullet"/>
        <w:widowControl/>
        <w:spacing w:after="80"/>
      </w:pPr>
      <w:r>
        <w:rPr>
          <w:b w:val="0"/>
        </w:rPr>
        <w:t>Khai báo Lon, Lốc và Thùng cho cùng SKU; thử 2 thùng × 24 và đối chiếu 48 lon.</w:t>
      </w:r>
    </w:p>
    <w:p>
      <w:pPr>
        <w:pStyle w:val="ListBullet"/>
        <w:widowControl/>
        <w:spacing w:after="80"/>
      </w:pPr>
      <w:r>
        <w:rPr>
          <w:b w:val="0"/>
        </w:rPr>
        <w:t>Nhập hệ số 0, âm hoặc tên trùng trong cùng SKU/kho; kiểm tra bị từ chối và không ghi sai dữ liệu.</w:t>
      </w:r>
    </w:p>
    <w:p>
      <w:pPr>
        <w:pStyle w:val="ListBullet"/>
        <w:widowControl/>
        <w:spacing w:after="80"/>
      </w:pPr>
      <w:r>
        <w:rPr>
          <w:b w:val="0"/>
        </w:rPr>
        <w:t>Ghi nhận giao dịch với hệ số 24, đổi thành 30; đối chiếu giao dịch cũ vẫn 48 và giao dịch mới dùng hệ số mới.</w:t>
      </w:r>
    </w:p>
    <w:p>
      <w:pPr>
        <w:pStyle w:val="ListBullet"/>
        <w:widowControl/>
        <w:spacing w:after="80"/>
      </w:pPr>
      <w:r>
        <w:rPr>
          <w:b w:val="0"/>
        </w:rPr>
        <w:t>Kiểm tra kho ngoài phạm vi, phiên bản cũ và chuỗi thao tác quy đổi rồi thêm mới.</w:t>
      </w:r>
    </w:p>
    <w:p>
      <w:pPr>
        <w:widowControl/>
      </w:pPr>
      <w:r>
        <w:rPr>
          <w:b w:val="0"/>
        </w:rPr>
        <w:t>Mã nguồn liên quan: UnitServlet.java, UnitService.java, units.jsp; kiểm thử UnitServiceTest, UnitServletTest và UnitAcceptanceIT.</w:t>
      </w:r>
    </w:p>
    <w:p>
      <w:r>
        <w:br w:type="page"/>
      </w:r>
    </w:p>
    <w:p>
      <w:pPr>
        <w:pStyle w:val="Heading1"/>
      </w:pPr>
      <w:r>
        <w:t>3 Nhiều điểm giao hàng cho đại lý</w:t>
      </w:r>
    </w:p>
    <w:p>
      <w:pPr>
        <w:widowControl/>
      </w:pPr>
      <w:r>
        <w:rPr>
          <w:b w:val="0"/>
        </w:rPr>
        <w:t>S3-04 / SCRUM-40 cho phép một đại lý có nhiều nơi nhận hàng. Mỗi điểm có địa chỉ, người nhận, điện thoại, ghi chú đường đi, trạng thái và cờ mặc định. Quan hệ dữ liệu là một đại lý có nhiều điểm giao.</w:t>
      </w:r>
    </w:p>
    <w:p>
      <w:pPr>
        <w:pStyle w:val="Heading2"/>
      </w:pPr>
      <w:r>
        <w:t>Luồng thêm và đổi điểm mặc định</w:t>
      </w:r>
    </w:p>
    <w:p>
      <w:pPr>
        <w:widowControl/>
        <w:spacing w:after="80"/>
        <w:ind w:left="173" w:hanging="173"/>
      </w:pPr>
      <w:r>
        <w:rPr>
          <w:b w:val="0"/>
        </w:rPr>
        <w:t>1. Nhân viên kinh doanh mở /dealers/addresses của đại lý nằm trong phạm vi được phân công.</w:t>
      </w:r>
    </w:p>
    <w:p>
      <w:pPr>
        <w:widowControl/>
        <w:spacing w:after="80"/>
        <w:ind w:left="173" w:hanging="173"/>
      </w:pPr>
      <w:r>
        <w:rPr>
          <w:b w:val="0"/>
        </w:rPr>
        <w:t>2. Biểu mẫu gửi thông tin điểm giao, version của điểm và dealerVersion. Service kiểm quyền DEALER_ADDRESS_MANAGE, vai trò và đại lý.</w:t>
      </w:r>
    </w:p>
    <w:p>
      <w:pPr>
        <w:widowControl/>
        <w:spacing w:after="80"/>
        <w:ind w:left="173" w:hanging="173"/>
      </w:pPr>
      <w:r>
        <w:rPr>
          <w:b w:val="0"/>
        </w:rPr>
        <w:t>3. Service khóa bản ghi đại lý, kiểm phiên bản và dữ liệu; chuẩn hóa điện thoại, ví dụ +84 912 345 678 thành 0912345678.</w:t>
      </w:r>
    </w:p>
    <w:p>
      <w:pPr>
        <w:widowControl/>
        <w:spacing w:after="80"/>
        <w:ind w:left="173" w:hanging="173"/>
      </w:pPr>
      <w:r>
        <w:rPr>
          <w:b w:val="0"/>
        </w:rPr>
        <w:t>4. Điểm ACTIVE đầu tiên được đặt mặc định. Khi đổi mặc định, bỏ điểm cũ và chọn điểm mới trong cùng transaction, sau đó ghi audit.</w:t>
      </w:r>
    </w:p>
    <w:p>
      <w:pPr>
        <w:widowControl/>
        <w:spacing w:after="80"/>
        <w:ind w:left="173" w:hanging="173"/>
      </w:pPr>
      <w:r>
        <w:rPr>
          <w:b w:val="0"/>
        </w:rPr>
        <w:t>5. Database và Service cùng bảo vệ tính nhất quán; thành công thì commit, lỗi thì rollback.</w:t>
      </w:r>
    </w:p>
    <w:p>
      <w:pPr>
        <w:pStyle w:val="Heading2"/>
      </w:pPr>
      <w:r>
        <w:t>Quy tắc nghiệp vụ quan trọng</w:t>
      </w:r>
    </w:p>
    <w:p>
      <w:pPr>
        <w:widowControl/>
      </w:pPr>
      <w:r>
        <w:rPr>
          <w:b w:val="0"/>
        </w:rPr>
        <w:t>Mỗi đại lý có tối đa một điểm mặc định. Ràng buộc UNIQUE ở database bảo vệ giới hạn này; Service duy trì việc chọn điểm đầu tiên và chuyển mặc định. Điểm mặc định phải hoạt động; cần chọn điểm khác thay thế trước khi ngừng điểm đang mặc định.</w:t>
      </w:r>
    </w:p>
    <w:p>
      <w:pPr>
        <w:widowControl/>
      </w:pPr>
      <w:r>
        <w:rPr>
          <w:b w:val="0"/>
        </w:rPr>
        <w:t>Đơn hàng chỉ được chọn điểm ACTIVE thuộc đúng đại lý. Backend phải kiểm lại cặp đại lý/điểm giao dù giao diện đã lọc danh sách. Khi chốt đơn, hệ thống lưu bản chụp địa chỉ, người nhận, điện thoại và ghi chú để thay đổi danh bạ sau này không làm đổi lịch sử đơn.</w:t>
      </w:r>
    </w:p>
    <w:p>
      <w:pPr>
        <w:pStyle w:val="Heading2"/>
      </w:pPr>
      <w:r>
        <w:t>Các ca kiểm thử trọng tâm</w:t>
      </w:r>
    </w:p>
    <w:p>
      <w:pPr>
        <w:pStyle w:val="ListBullet"/>
        <w:widowControl/>
        <w:spacing w:after="80"/>
      </w:pPr>
      <w:r>
        <w:rPr>
          <w:b w:val="0"/>
        </w:rPr>
        <w:t>Thêm hai điểm cho đại lý A; kiểm đủ bốn trường và điểm đầu tự trở thành mặc định.</w:t>
      </w:r>
    </w:p>
    <w:p>
      <w:pPr>
        <w:pStyle w:val="ListBullet"/>
        <w:widowControl/>
        <w:spacing w:after="80"/>
      </w:pPr>
      <w:r>
        <w:rPr>
          <w:b w:val="0"/>
        </w:rPr>
        <w:t>Chuyển mặc định sang điểm thứ hai; kiểm chỉ còn một mặc định và không ngừng được điểm mặc định chưa có thay thế.</w:t>
      </w:r>
    </w:p>
    <w:p>
      <w:pPr>
        <w:pStyle w:val="ListBullet"/>
        <w:widowControl/>
        <w:spacing w:after="80"/>
      </w:pPr>
      <w:r>
        <w:rPr>
          <w:b w:val="0"/>
        </w:rPr>
        <w:t>Thử điện thoại hợp lệ, +84 và dữ liệu sai; kiểm thông báo và dữ liệu được giữ lại khi báo lỗi.</w:t>
      </w:r>
    </w:p>
    <w:p>
      <w:pPr>
        <w:pStyle w:val="ListBullet"/>
        <w:widowControl/>
        <w:spacing w:after="80"/>
      </w:pPr>
      <w:r>
        <w:rPr>
          <w:b w:val="0"/>
        </w:rPr>
        <w:t>Chọn đại lý B hoặc sửa ID gửi lên; kiểm không lấy được điểm của A. Sửa danh bạ rồi đối chiếu snapshot đơn đã chốt.</w:t>
      </w:r>
    </w:p>
    <w:p>
      <w:pPr>
        <w:widowControl/>
      </w:pPr>
      <w:r>
        <w:rPr>
          <w:b w:val="0"/>
        </w:rPr>
        <w:t>Mã nguồn liên quan: DealerAddressServlet.java, DealerAddressService.java, addresses.jsp và OrderService.java. Bộ kiểm thử tích hợp trực tiếp: DealerAddressAcceptanceIT.</w:t>
      </w:r>
    </w:p>
    <w:p>
      <w:r>
        <w:br w:type="page"/>
      </w:r>
    </w:p>
    <w:p>
      <w:pPr>
        <w:pStyle w:val="Heading1"/>
      </w:pPr>
      <w:r>
        <w:t>4 Kiểm soát tồn và tra cứu sổ tồn</w:t>
      </w:r>
    </w:p>
    <w:p>
      <w:pPr>
        <w:pStyle w:val="Heading2"/>
      </w:pPr>
      <w:r>
        <w:t>S4 03 Tồn khả dụng và chặn vượt tồn</w:t>
      </w:r>
    </w:p>
    <w:p>
      <w:pPr>
        <w:widowControl/>
      </w:pPr>
      <w:r>
        <w:rPr>
          <w:b w:val="0"/>
        </w:rPr>
        <w:t>Khả dụng = Tồn thực tế − Giữ chỗ còn hiệu lực. Giữ chỗ là cam kết hàng cho đơn đã được tiếp nhận; hàng chưa xuất nên tồn thực tế chưa giảm. Khi xuất hàng, tồn thực tế và phần giữ chỗ được tiêu thụ cùng được cập nhật.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296"/>
        <w:gridCol w:w="1296"/>
        <w:gridCol w:w="3024"/>
      </w:tblGrid>
      <w:tr>
        <w:trPr>
          <w:cantSplit/>
          <w:tblHeader w:val="true"/>
        </w:trPr>
        <w:tc>
          <w:tcPr>
            <w:tcW w:type="dxa" w:w="4464"/>
            <w:vAlign w:val="center"/>
            <w:tcMar>
              <w:top w:w="90" w:type="dxa"/>
              <w:bottom w:w="90" w:type="dxa"/>
              <w:left w:w="110" w:type="dxa"/>
              <w:right w:w="110" w:type="dxa"/>
            </w:tcMar>
            <w:shd w:fill="203B53"/>
          </w:tcPr>
          <w:p>
            <w:pPr>
              <w:spacing w:after="0" w:line="257" w:lineRule="auto"/>
            </w:pPr>
            <w:r>
              <w:rPr>
                <w:rFonts w:ascii="Arial" w:hAnsi="Arial"/>
                <w:b/>
                <w:color w:val="FFFFFF"/>
                <w:sz w:val="20"/>
              </w:rPr>
              <w:t>Tình huống</w:t>
            </w:r>
          </w:p>
        </w:tc>
        <w:tc>
          <w:tcPr>
            <w:tcW w:type="dxa" w:w="1296"/>
            <w:vAlign w:val="center"/>
            <w:tcMar>
              <w:top w:w="90" w:type="dxa"/>
              <w:bottom w:w="90" w:type="dxa"/>
              <w:left w:w="110" w:type="dxa"/>
              <w:right w:w="110" w:type="dxa"/>
            </w:tcMar>
            <w:shd w:fill="203B53"/>
          </w:tcPr>
          <w:p>
            <w:pPr>
              <w:spacing w:after="0" w:line="257" w:lineRule="auto"/>
            </w:pPr>
            <w:r>
              <w:rPr>
                <w:rFonts w:ascii="Arial" w:hAnsi="Arial"/>
                <w:b/>
                <w:color w:val="FFFFFF"/>
                <w:sz w:val="20"/>
              </w:rPr>
              <w:t>Thực tế</w:t>
            </w:r>
          </w:p>
        </w:tc>
        <w:tc>
          <w:tcPr>
            <w:tcW w:type="dxa" w:w="1296"/>
            <w:vAlign w:val="center"/>
            <w:tcMar>
              <w:top w:w="90" w:type="dxa"/>
              <w:bottom w:w="90" w:type="dxa"/>
              <w:left w:w="110" w:type="dxa"/>
              <w:right w:w="110" w:type="dxa"/>
            </w:tcMar>
            <w:shd w:fill="203B53"/>
          </w:tcPr>
          <w:p>
            <w:pPr>
              <w:spacing w:after="0" w:line="257" w:lineRule="auto"/>
            </w:pPr>
            <w:r>
              <w:rPr>
                <w:rFonts w:ascii="Arial" w:hAnsi="Arial"/>
                <w:b/>
                <w:color w:val="FFFFFF"/>
                <w:sz w:val="20"/>
              </w:rPr>
              <w:t>Giữ chỗ</w:t>
            </w:r>
          </w:p>
        </w:tc>
        <w:tc>
          <w:tcPr>
            <w:tcW w:type="dxa" w:w="3024"/>
            <w:vAlign w:val="center"/>
            <w:tcMar>
              <w:top w:w="90" w:type="dxa"/>
              <w:bottom w:w="90" w:type="dxa"/>
              <w:left w:w="110" w:type="dxa"/>
              <w:right w:w="110" w:type="dxa"/>
            </w:tcMar>
            <w:shd w:fill="203B53"/>
          </w:tcPr>
          <w:p>
            <w:pPr>
              <w:spacing w:after="0" w:line="257" w:lineRule="auto"/>
            </w:pPr>
            <w:r>
              <w:rPr>
                <w:rFonts w:ascii="Arial" w:hAnsi="Arial"/>
                <w:b/>
                <w:color w:val="FFFFFF"/>
                <w:sz w:val="20"/>
              </w:rPr>
              <w:t>Khả dụng</w:t>
            </w:r>
          </w:p>
        </w:tc>
      </w:tr>
      <w:tr>
        <w:trPr>
          <w:cantSplit/>
        </w:trPr>
        <w:tc>
          <w:tcPr>
            <w:tcW w:type="dxa" w:w="446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Ban đầu</w:t>
            </w:r>
          </w:p>
        </w:tc>
        <w:tc>
          <w:tcPr>
            <w:tcW w:type="dxa" w:w="1296"/>
            <w:vAlign w:val="center"/>
            <w:tcMar>
              <w:top w:w="90" w:type="dxa"/>
              <w:bottom w:w="90" w:type="dxa"/>
              <w:left w:w="110" w:type="dxa"/>
              <w:right w:w="110" w:type="dxa"/>
            </w:tcMar>
            <w:shd w:fill="FFFFFF"/>
          </w:tcPr>
          <w:p>
            <w:pPr>
              <w:spacing w:after="0" w:line="257" w:lineRule="auto"/>
            </w:pPr>
            <w:r>
              <w:rPr>
                <w:rFonts w:ascii="Arial" w:hAnsi="Arial"/>
                <w:b w:val="0"/>
                <w:color w:val="000000"/>
                <w:sz w:val="20"/>
              </w:rPr>
              <w:t>50</w:t>
            </w:r>
          </w:p>
        </w:tc>
        <w:tc>
          <w:tcPr>
            <w:tcW w:type="dxa" w:w="1296"/>
            <w:vAlign w:val="center"/>
            <w:tcMar>
              <w:top w:w="90" w:type="dxa"/>
              <w:bottom w:w="90" w:type="dxa"/>
              <w:left w:w="110" w:type="dxa"/>
              <w:right w:w="110" w:type="dxa"/>
            </w:tcMar>
            <w:shd w:fill="FFFFFF"/>
          </w:tcPr>
          <w:p>
            <w:pPr>
              <w:spacing w:after="0" w:line="257" w:lineRule="auto"/>
            </w:pPr>
            <w:r>
              <w:rPr>
                <w:rFonts w:ascii="Arial" w:hAnsi="Arial"/>
                <w:b w:val="0"/>
                <w:color w:val="000000"/>
                <w:sz w:val="20"/>
              </w:rPr>
              <w:t>0</w:t>
            </w:r>
          </w:p>
        </w:tc>
        <w:tc>
          <w:tcPr>
            <w:tcW w:type="dxa" w:w="302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50</w:t>
            </w:r>
          </w:p>
        </w:tc>
      </w:tr>
      <w:tr>
        <w:trPr>
          <w:cantSplit/>
        </w:trPr>
        <w:tc>
          <w:tcPr>
            <w:tcW w:type="dxa" w:w="446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Tiếp nhận 2 thùng × 24</w:t>
            </w:r>
          </w:p>
        </w:tc>
        <w:tc>
          <w:tcPr>
            <w:tcW w:type="dxa" w:w="1296"/>
            <w:vAlign w:val="center"/>
            <w:tcMar>
              <w:top w:w="90" w:type="dxa"/>
              <w:bottom w:w="90" w:type="dxa"/>
              <w:left w:w="110" w:type="dxa"/>
              <w:right w:w="110" w:type="dxa"/>
            </w:tcMar>
            <w:shd w:fill="F1F5F8"/>
          </w:tcPr>
          <w:p>
            <w:pPr>
              <w:spacing w:after="0" w:line="257" w:lineRule="auto"/>
            </w:pPr>
            <w:r>
              <w:rPr>
                <w:rFonts w:ascii="Arial" w:hAnsi="Arial"/>
                <w:b w:val="0"/>
                <w:color w:val="000000"/>
                <w:sz w:val="20"/>
              </w:rPr>
              <w:t>50</w:t>
            </w:r>
          </w:p>
        </w:tc>
        <w:tc>
          <w:tcPr>
            <w:tcW w:type="dxa" w:w="1296"/>
            <w:vAlign w:val="center"/>
            <w:tcMar>
              <w:top w:w="90" w:type="dxa"/>
              <w:bottom w:w="90" w:type="dxa"/>
              <w:left w:w="110" w:type="dxa"/>
              <w:right w:w="110" w:type="dxa"/>
            </w:tcMar>
            <w:shd w:fill="F1F5F8"/>
          </w:tcPr>
          <w:p>
            <w:pPr>
              <w:spacing w:after="0" w:line="257" w:lineRule="auto"/>
            </w:pPr>
            <w:r>
              <w:rPr>
                <w:rFonts w:ascii="Arial" w:hAnsi="Arial"/>
                <w:b w:val="0"/>
                <w:color w:val="000000"/>
                <w:sz w:val="20"/>
              </w:rPr>
              <w:t>48</w:t>
            </w:r>
          </w:p>
        </w:tc>
        <w:tc>
          <w:tcPr>
            <w:tcW w:type="dxa" w:w="3024"/>
            <w:vAlign w:val="center"/>
            <w:tcMar>
              <w:top w:w="90" w:type="dxa"/>
              <w:bottom w:w="90" w:type="dxa"/>
              <w:left w:w="110" w:type="dxa"/>
              <w:right w:w="110" w:type="dxa"/>
            </w:tcMar>
            <w:shd w:fill="F1F5F8"/>
          </w:tcPr>
          <w:p>
            <w:pPr>
              <w:spacing w:after="0" w:line="257" w:lineRule="auto"/>
            </w:pPr>
            <w:r>
              <w:rPr>
                <w:rFonts w:ascii="Arial" w:hAnsi="Arial"/>
                <w:b w:val="0"/>
                <w:color w:val="000000"/>
                <w:sz w:val="20"/>
              </w:rPr>
              <w:t>2</w:t>
            </w:r>
          </w:p>
        </w:tc>
      </w:tr>
      <w:tr>
        <w:trPr>
          <w:cantSplit/>
        </w:trPr>
        <w:tc>
          <w:tcPr>
            <w:tcW w:type="dxa" w:w="446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Yêu cầu thêm 3 lon</w:t>
            </w:r>
          </w:p>
        </w:tc>
        <w:tc>
          <w:tcPr>
            <w:tcW w:type="dxa" w:w="1296"/>
            <w:vAlign w:val="center"/>
            <w:tcMar>
              <w:top w:w="90" w:type="dxa"/>
              <w:bottom w:w="90" w:type="dxa"/>
              <w:left w:w="110" w:type="dxa"/>
              <w:right w:w="110" w:type="dxa"/>
            </w:tcMar>
            <w:shd w:fill="FFFFFF"/>
          </w:tcPr>
          <w:p>
            <w:pPr>
              <w:spacing w:after="0" w:line="257" w:lineRule="auto"/>
            </w:pPr>
            <w:r>
              <w:rPr>
                <w:rFonts w:ascii="Arial" w:hAnsi="Arial"/>
                <w:b w:val="0"/>
                <w:color w:val="000000"/>
                <w:sz w:val="20"/>
              </w:rPr>
              <w:t>50</w:t>
            </w:r>
          </w:p>
        </w:tc>
        <w:tc>
          <w:tcPr>
            <w:tcW w:type="dxa" w:w="1296"/>
            <w:vAlign w:val="center"/>
            <w:tcMar>
              <w:top w:w="90" w:type="dxa"/>
              <w:bottom w:w="90" w:type="dxa"/>
              <w:left w:w="110" w:type="dxa"/>
              <w:right w:w="110" w:type="dxa"/>
            </w:tcMar>
            <w:shd w:fill="FFFFFF"/>
          </w:tcPr>
          <w:p>
            <w:pPr>
              <w:spacing w:after="0" w:line="257" w:lineRule="auto"/>
            </w:pPr>
            <w:r>
              <w:rPr>
                <w:rFonts w:ascii="Arial" w:hAnsi="Arial"/>
                <w:b w:val="0"/>
                <w:color w:val="000000"/>
                <w:sz w:val="20"/>
              </w:rPr>
              <w:t>48</w:t>
            </w:r>
          </w:p>
        </w:tc>
        <w:tc>
          <w:tcPr>
            <w:tcW w:type="dxa" w:w="3024"/>
            <w:vAlign w:val="center"/>
            <w:tcMar>
              <w:top w:w="90" w:type="dxa"/>
              <w:bottom w:w="90" w:type="dxa"/>
              <w:left w:w="110" w:type="dxa"/>
              <w:right w:w="110" w:type="dxa"/>
            </w:tcMar>
            <w:shd w:fill="FFFFFF"/>
          </w:tcPr>
          <w:p>
            <w:pPr>
              <w:spacing w:after="0" w:line="257" w:lineRule="auto"/>
            </w:pPr>
            <w:r>
              <w:rPr>
                <w:rFonts w:ascii="Arial" w:hAnsi="Arial"/>
                <w:b w:val="0"/>
                <w:color w:val="000000"/>
                <w:sz w:val="20"/>
              </w:rPr>
              <w:t>Không đủ để nhận đơn mới</w:t>
            </w:r>
          </w:p>
        </w:tc>
      </w:tr>
    </w:tbl>
    <w:p>
      <w:pPr>
        <w:spacing w:after="0"/>
      </w:pPr>
    </w:p>
    <w:p>
      <w:pPr>
        <w:widowControl/>
      </w:pPr>
      <w:r>
        <w:rPr>
          <w:b w:val="0"/>
        </w:rPr>
        <w:t>Mỗi dòng đơn được quy đổi trước rồi cộng nhu cầu theo cùng SKU tại đúng kho. Ví dụ 2 thùng và 1 thùng cùng SKU là 72 lon, phải bị chặn khi kho chỉ có 50. Không cộng tồn các kho hoặc các SKU khác nhau để kết luận đủ hàng.</w:t>
      </w:r>
    </w:p>
    <w:p>
      <w:pPr>
        <w:widowControl/>
      </w:pPr>
      <w:r>
        <w:rPr>
          <w:b w:val="0"/>
        </w:rPr>
        <w:t>Khi tiếp nhận, OrderService kiểm lại dữ liệu; StockService giữ hàng trong transaction và khóa dữ liệu lô để hai đơn không cùng sử dụng một lượng tồn. Lưu nháp chưa giữ hàng. Đơn cần phê duyệt chỉ được giữ ở bước tiếp nhận phù hợp sau kiểm tra.</w:t>
      </w:r>
    </w:p>
    <w:p>
      <w:pPr>
        <w:widowControl/>
      </w:pPr>
      <w:r>
        <w:rPr>
          <w:b w:val="0"/>
        </w:rPr>
        <w:t>Ca cần kiểm: đặt 72 khi chỉ có 50; chia 72 thành nhiều dòng cùng SKU; đặt hợp lệ 48 còn khả dụng 2; hai đơn cùng tranh tồn; lỗi audit phải rollback giữ hàng.</w:t>
      </w:r>
    </w:p>
    <w:p>
      <w:pPr>
        <w:pStyle w:val="Heading2"/>
      </w:pPr>
      <w:r>
        <w:t>S5 05 Xem tồn theo SKU và kho</w:t>
      </w:r>
    </w:p>
    <w:p>
      <w:pPr>
        <w:widowControl/>
      </w:pPr>
      <w:r>
        <w:rPr>
          <w:b w:val="0"/>
        </w:rPr>
        <w:t>Màn hình /inventory/stock cho tra cứu theo SKU/tên, kho, nhóm và trạng thái khả dụng. StockService kiểm STOCK_READ và phạm vi kho trước khi tổng hợp dữ liệu. Thẻ kho /inventory/card hiển thị lịch sử phát sinh, chứng từ nguồn và số dư cộng dồn.</w:t>
      </w:r>
    </w:p>
    <w:p>
      <w:pPr>
        <w:widowControl/>
      </w:pPr>
      <w:r>
        <w:rPr>
          <w:b w:val="0"/>
        </w:rPr>
        <w:t>Nhân viên kho xem các kho được phân công cùng tồn thực tế, giữ chỗ và khả dụng. Nhân viên kinh doanh thông thường chỉ nhận lượng khả dụng trong phạm vi phục vụ đại lý. Trường không được phép phải được loại ở server, không chỉ che bằng CSS.</w:t>
      </w:r>
    </w:p>
    <w:p>
      <w:pPr>
        <w:widowControl/>
      </w:pPr>
      <w:r>
        <w:rPr>
          <w:b w:val="0"/>
        </w:rPr>
        <w:t>Ca cần kiểm: tìm SKU đúng, lọc kho đúng, đối chiếu ba lượng tồn trước/sau giữ hàng; truy cập trực tiếp kho ngoài phạm vi phải bị chặn; tài khoản kinh doanh không nhận chi tiết tồn vật lý và giữ chỗ.</w:t>
      </w:r>
    </w:p>
    <w:p>
      <w:pPr>
        <w:widowControl/>
      </w:pPr>
      <w:r>
        <w:rPr>
          <w:b w:val="0"/>
        </w:rPr>
        <w:t>Mã nguồn liên quan: StockService.java, StockServlet.java, StockCardServlet.java và stock.jsp; bộ kiểm thử MvpStockAcceptanceIT và OrderAcceptanceIT.</w:t>
      </w:r>
    </w:p>
    <w:p>
      <w:r>
        <w:br w:type="page"/>
      </w:r>
    </w:p>
    <w:p>
      <w:pPr>
        <w:pStyle w:val="Heading1"/>
      </w:pPr>
      <w:r>
        <w:t>5 Trả hàng và điều chỉnh</w:t>
      </w:r>
    </w:p>
    <w:p>
      <w:pPr>
        <w:widowControl/>
      </w:pPr>
      <w:r>
        <w:rPr>
          <w:b w:val="0"/>
        </w:rPr>
        <w:t>EP-08 / SCRUM-15 bao gồm trả hàng, giảm trừ công nợ và điều chỉnh. Theo hồ sơ ngày 17/10/2026, Epic còn Testing và S8-03 chưa Done. Luồng trả thương mại đã có mã nguồn; phần điều chỉnh có phê duyệt chưa được xác nhận hoàn tất trong báo cáo này.</w:t>
      </w:r>
    </w:p>
    <w:p>
      <w:pPr>
        <w:pStyle w:val="Heading2"/>
      </w:pPr>
      <w:r>
        <w:t>Luồng trả thương mại theo hóa đơn</w:t>
      </w:r>
    </w:p>
    <w:p>
      <w:pPr>
        <w:widowControl/>
        <w:spacing w:after="80"/>
        <w:ind w:left="173" w:hanging="173"/>
      </w:pPr>
      <w:r>
        <w:rPr>
          <w:b w:val="0"/>
        </w:rPr>
        <w:t>1. Nhân viên kinh doanh hoặc quản lý lập phiếu DRAFT từ hóa đơn gốc, ghi lý do và phân loại hàng tốt/hỏng.</w:t>
      </w:r>
    </w:p>
    <w:p>
      <w:pPr>
        <w:widowControl/>
        <w:spacing w:after="80"/>
        <w:ind w:left="173" w:hanging="173"/>
      </w:pPr>
      <w:r>
        <w:rPr>
          <w:b w:val="0"/>
        </w:rPr>
        <w:t>2. Hệ thống kiểm tổng lượng trả, gồm các phiếu liên quan chưa hủy, không vượt lượng của hóa đơn nguồn.</w:t>
      </w:r>
    </w:p>
    <w:p>
      <w:pPr>
        <w:widowControl/>
        <w:spacing w:after="80"/>
        <w:ind w:left="173" w:hanging="173"/>
      </w:pPr>
      <w:r>
        <w:rPr>
          <w:b w:val="0"/>
        </w:rPr>
        <w:t>3. Trưởng kho đúng kho xác nhận thực nhận. Phiếu chuyển RECEIVED; chỉ hàng tốt được cộng vào tồn bán được.</w:t>
      </w:r>
    </w:p>
    <w:p>
      <w:pPr>
        <w:widowControl/>
        <w:spacing w:after="80"/>
        <w:ind w:left="173" w:hanging="173"/>
      </w:pPr>
      <w:r>
        <w:rPr>
          <w:b w:val="0"/>
        </w:rPr>
        <w:t>4. Kế toán phát hành chứng từ giảm trừ theo giá trị ròng của hóa đơn gốc và lượng trả hợp lệ.</w:t>
      </w:r>
    </w:p>
    <w:p>
      <w:pPr>
        <w:widowControl/>
        <w:spacing w:after="80"/>
        <w:ind w:left="173" w:hanging="173"/>
      </w:pPr>
      <w:r>
        <w:rPr>
          <w:b w:val="0"/>
        </w:rPr>
        <w:t>5. Hệ thống ghi chứng từ, cập nhật dữ liệu công nợ liên quan và lưu audit nhất quán.</w:t>
      </w:r>
    </w:p>
    <w:p>
      <w:pPr>
        <w:widowControl/>
      </w:pPr>
      <w:r>
        <w:rPr>
          <w:b w:val="0"/>
        </w:rPr>
        <w:t>Ví dụ: nhận 1 lon tốt và 1 lon hỏng thì tồn bán được chỉ tăng 1 lon. Cả hai lon vẫn thuộc lượng trả cần đối chiếu hóa đơn. Nhận hàng và phát hành giảm trừ là hai bước khác nhau; giảm phải thu cũng không đồng nghĩa tự động hoàn tiền mặt.</w:t>
      </w:r>
    </w:p>
    <w:p>
      <w:pPr>
        <w:pStyle w:val="Heading2"/>
      </w:pPr>
      <w:r>
        <w:t>Các nguyên tắc kỹ thuật cần nắm</w:t>
      </w:r>
    </w:p>
    <w:p>
      <w:pPr>
        <w:pStyle w:val="ListBullet"/>
        <w:widowControl/>
        <w:spacing w:after="80"/>
      </w:pPr>
      <w:r>
        <w:rPr>
          <w:b w:val="0"/>
        </w:rPr>
        <w:t>Transaction: các thay đổi nghiệp vụ và audit dùng cùng giao dịch; lỗi thì rollback toàn bộ.</w:t>
      </w:r>
    </w:p>
    <w:p>
      <w:pPr>
        <w:pStyle w:val="ListBullet"/>
        <w:widowControl/>
        <w:spacing w:after="80"/>
      </w:pPr>
      <w:r>
        <w:rPr>
          <w:b w:val="0"/>
        </w:rPr>
        <w:t>Version: phát hiện biểu mẫu cũ để tránh ghi đè dữ liệu đã được người khác sửa.</w:t>
      </w:r>
    </w:p>
    <w:p>
      <w:pPr>
        <w:pStyle w:val="ListBullet"/>
        <w:widowControl/>
        <w:spacing w:after="80"/>
      </w:pPr>
      <w:r>
        <w:rPr>
          <w:b w:val="0"/>
        </w:rPr>
        <w:t>Khóa dữ liệu: tính lại tồn hoặc lượng được trả dưới khóa khi ghi, thay vì tin số đã đọc trên màn hình.</w:t>
      </w:r>
    </w:p>
    <w:p>
      <w:pPr>
        <w:pStyle w:val="ListBullet"/>
        <w:widowControl/>
        <w:spacing w:after="80"/>
      </w:pPr>
      <w:r>
        <w:rPr>
          <w:b w:val="0"/>
        </w:rPr>
        <w:t>Idempotency: xử lý request lặp để thao tác gửi lại không tạo thêm giữ hàng hoặc chứng từ giảm trừ.</w:t>
      </w:r>
    </w:p>
    <w:p>
      <w:pPr>
        <w:pStyle w:val="ListBullet"/>
        <w:widowControl/>
        <w:spacing w:after="80"/>
      </w:pPr>
      <w:r>
        <w:rPr>
          <w:b w:val="0"/>
        </w:rPr>
        <w:t>Phân quyền: kiểm người dùng là ai, được làm hành động gì và được thao tác trên kho/đại lý nào.</w:t>
      </w:r>
    </w:p>
    <w:p>
      <w:pPr>
        <w:pStyle w:val="Heading2"/>
      </w:pPr>
      <w:r>
        <w:t>Phạm vi kiểm thử và điểm còn tồn tại</w:t>
      </w:r>
    </w:p>
    <w:p>
      <w:pPr>
        <w:widowControl/>
      </w:pPr>
      <w:r>
        <w:rPr>
          <w:b w:val="0"/>
        </w:rPr>
        <w:t>Cần kiểm lượng trả vượt nguồn, hàng tốt/hỏng, quyền nhận trả/giảm trừ, request lặp và rollback. Hồ sơ 17/10 ghi nhận service test đạt nhưng bước nhận trả và giảm trừ qua HTTP bị 403 do ánh xạ quyền theo action. Chi tiết và giới hạn được trình bày ở phần kết quả kiểm thử.</w:t>
      </w:r>
    </w:p>
    <w:p>
      <w:pPr>
        <w:widowControl/>
      </w:pPr>
      <w:r>
        <w:rPr>
          <w:b w:val="0"/>
        </w:rPr>
        <w:t>Mã nguồn liên quan: ReturnService.java, ReturnServlet.java và returns.jsp; bộ kiểm thử MvpReturnAcceptanceIT, MvpInvoiceAcceptanceIT và RoutePermissionsTest.</w:t>
      </w:r>
    </w:p>
    <w:p>
      <w:r>
        <w:br w:type="page"/>
      </w:r>
    </w:p>
    <w:p>
      <w:pPr>
        <w:pStyle w:val="Heading1"/>
      </w:pPr>
      <w:r>
        <w:t>6 Kết quả kiểm thử và lỗi đã ghi nhận</w:t>
      </w:r>
    </w:p>
    <w:p>
      <w:pPr>
        <w:widowControl/>
      </w:pPr>
      <w:r>
        <w:rPr>
          <w:b w:val="0"/>
        </w:rPr>
        <w:t>Nguồn kết quả là báo cáo kiểm thử ngày 17/10/2026 trên commit d0d2208, Java 17, Tomcat 10.1.60 và MySQL 8.4.11. Lệnh ghi nhận: mvnw.cmd -B -ntp clean verify. Tài liệu này không chạy lại bộ test và không xác nhận các lỗi còn tồn tại trên phiên bản triển khai hiện nay.</w:t>
      </w:r>
    </w:p>
    <w:p>
      <w:pPr>
        <w:widowControl/>
      </w:pPr>
      <w:r>
        <w:rPr>
          <w:b w:val="0"/>
        </w:rPr>
        <w:t>Toàn dự án đạt 683/683 bài tự động: 324 unit/controller và 359 integration; 0 failure, 0 error, 0 skipped. Đây là số của toàn dự án, không phải toàn bộ bài do riêng em viết và cũng không phải tỷ lệ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bottom w:w="90" w:type="dxa"/>
              <w:left w:w="110" w:type="dxa"/>
              <w:right w:w="110" w:type="dxa"/>
            </w:tcMar>
            <w:shd w:fill="203B53"/>
          </w:tcPr>
          <w:p>
            <w:pPr>
              <w:spacing w:after="0" w:line="257" w:lineRule="auto"/>
            </w:pPr>
            <w:r>
              <w:rPr>
                <w:rFonts w:ascii="Arial" w:hAnsi="Arial"/>
                <w:b/>
                <w:color w:val="FFFFFF"/>
                <w:sz w:val="20"/>
              </w:rPr>
              <w:t>Nhóm việc</w:t>
            </w:r>
          </w:p>
        </w:tc>
        <w:tc>
          <w:tcPr>
            <w:tcW w:type="dxa" w:w="8568"/>
            <w:vAlign w:val="center"/>
            <w:tcMar>
              <w:top w:w="90" w:type="dxa"/>
              <w:bottom w:w="90" w:type="dxa"/>
              <w:left w:w="110" w:type="dxa"/>
              <w:right w:w="110" w:type="dxa"/>
            </w:tcMar>
            <w:shd w:fill="203B53"/>
          </w:tcPr>
          <w:p>
            <w:pPr>
              <w:spacing w:after="0" w:line="257" w:lineRule="auto"/>
            </w:pPr>
            <w:r>
              <w:rPr>
                <w:rFonts w:ascii="Arial" w:hAnsi="Arial"/>
                <w:b/>
                <w:color w:val="FFFFFF"/>
                <w:sz w:val="20"/>
              </w:rPr>
              <w:t>Kết quả trong phạm vi đã kiểm ngày 17 tháng 10</w:t>
            </w:r>
          </w:p>
        </w:tc>
      </w:tr>
      <w:tr>
        <w:trPr>
          <w:cantSplit/>
        </w:trPr>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S2-07</w:t>
            </w:r>
          </w:p>
        </w:tc>
        <w:tc>
          <w:tcPr>
            <w:tcW w:type="dxa" w:w="8568"/>
            <w:vAlign w:val="center"/>
            <w:tcMar>
              <w:top w:w="90" w:type="dxa"/>
              <w:bottom w:w="90" w:type="dxa"/>
              <w:left w:w="110" w:type="dxa"/>
              <w:right w:w="110" w:type="dxa"/>
            </w:tcMar>
            <w:shd w:fill="FFFFFF"/>
          </w:tcPr>
          <w:p>
            <w:pPr>
              <w:spacing w:after="0" w:line="257" w:lineRule="auto"/>
            </w:pPr>
            <w:r>
              <w:rPr>
                <w:rFonts w:ascii="Arial" w:hAnsi="Arial"/>
                <w:b w:val="0"/>
                <w:color w:val="000000"/>
                <w:sz w:val="20"/>
              </w:rPr>
              <w:t>Phép đổi 2 × 24 = 48 và snapshot đạt; phát hiện lỗi thêm mới ngay sau quy đổi.</w:t>
            </w:r>
          </w:p>
        </w:tc>
      </w:tr>
      <w:tr>
        <w:trPr>
          <w:cantSplit/>
        </w:trPr>
        <w:tc>
          <w:tcPr>
            <w:tcW w:type="dxa" w:w="151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S3-04</w:t>
            </w:r>
          </w:p>
        </w:tc>
        <w:tc>
          <w:tcPr>
            <w:tcW w:type="dxa" w:w="8568"/>
            <w:vAlign w:val="center"/>
            <w:tcMar>
              <w:top w:w="90" w:type="dxa"/>
              <w:bottom w:w="90" w:type="dxa"/>
              <w:left w:w="110" w:type="dxa"/>
              <w:right w:w="110" w:type="dxa"/>
            </w:tcMar>
            <w:shd w:fill="F1F5F8"/>
          </w:tcPr>
          <w:p>
            <w:pPr>
              <w:spacing w:after="0" w:line="257" w:lineRule="auto"/>
            </w:pPr>
            <w:r>
              <w:rPr>
                <w:rFonts w:ascii="Arial" w:hAnsi="Arial"/>
                <w:b w:val="0"/>
                <w:color w:val="000000"/>
                <w:sz w:val="20"/>
              </w:rPr>
              <w:t>Các ca đã kiểm về thêm, mặc định, điện thoại, chọn điểm đúng đại lý và giao diện hẹp đạt.</w:t>
            </w:r>
          </w:p>
        </w:tc>
      </w:tr>
      <w:tr>
        <w:trPr>
          <w:cantSplit/>
        </w:trPr>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S4-03</w:t>
            </w:r>
          </w:p>
        </w:tc>
        <w:tc>
          <w:tcPr>
            <w:tcW w:type="dxa" w:w="8568"/>
            <w:vAlign w:val="center"/>
            <w:tcMar>
              <w:top w:w="90" w:type="dxa"/>
              <w:bottom w:w="90" w:type="dxa"/>
              <w:left w:w="110" w:type="dxa"/>
              <w:right w:w="110" w:type="dxa"/>
            </w:tcMar>
            <w:shd w:fill="FFFFFF"/>
          </w:tcPr>
          <w:p>
            <w:pPr>
              <w:spacing w:after="0" w:line="257" w:lineRule="auto"/>
            </w:pPr>
            <w:r>
              <w:rPr>
                <w:rFonts w:ascii="Arial" w:hAnsi="Arial"/>
                <w:b w:val="0"/>
                <w:color w:val="000000"/>
                <w:sz w:val="20"/>
              </w:rPr>
              <w:t>Chặn vượt tồn, cộng cùng SKU, giữ 48 trong 50 và các ca tích hợp liên quan đạt.</w:t>
            </w:r>
          </w:p>
        </w:tc>
      </w:tr>
      <w:tr>
        <w:trPr>
          <w:cantSplit/>
        </w:trPr>
        <w:tc>
          <w:tcPr>
            <w:tcW w:type="dxa" w:w="151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S5-05</w:t>
            </w:r>
          </w:p>
        </w:tc>
        <w:tc>
          <w:tcPr>
            <w:tcW w:type="dxa" w:w="8568"/>
            <w:vAlign w:val="center"/>
            <w:tcMar>
              <w:top w:w="90" w:type="dxa"/>
              <w:bottom w:w="90" w:type="dxa"/>
              <w:left w:w="110" w:type="dxa"/>
              <w:right w:w="110" w:type="dxa"/>
            </w:tcMar>
            <w:shd w:fill="F1F5F8"/>
          </w:tcPr>
          <w:p>
            <w:pPr>
              <w:spacing w:after="0" w:line="257" w:lineRule="auto"/>
            </w:pPr>
            <w:r>
              <w:rPr>
                <w:rFonts w:ascii="Arial" w:hAnsi="Arial"/>
                <w:b w:val="0"/>
                <w:color w:val="000000"/>
                <w:sz w:val="20"/>
              </w:rPr>
              <w:t>Tra cứu, lọc kho và giới hạn dữ liệu theo vai trò/phạm vi đạt trong các ca đã kiểm.</w:t>
            </w:r>
          </w:p>
        </w:tc>
      </w:tr>
      <w:tr>
        <w:trPr>
          <w:cantSplit/>
        </w:trPr>
        <w:tc>
          <w:tcPr>
            <w:tcW w:type="dxa" w:w="151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EP-08</w:t>
            </w:r>
          </w:p>
        </w:tc>
        <w:tc>
          <w:tcPr>
            <w:tcW w:type="dxa" w:w="8568"/>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Service test liên quan đạt; hai bước nhận trả và giảm trừ qua HTTP bị 403.</w:t>
            </w:r>
          </w:p>
        </w:tc>
      </w:tr>
    </w:tbl>
    <w:p>
      <w:pPr>
        <w:spacing w:after="0"/>
      </w:pPr>
    </w:p>
    <w:p>
      <w:pPr>
        <w:pStyle w:val="Heading2"/>
      </w:pPr>
      <w:r>
        <w:t>Lỗi thêm đơn vị sau quy đổi</w:t>
      </w:r>
    </w:p>
    <w:p>
      <w:pPr>
        <w:widowControl/>
      </w:pPr>
      <w:r>
        <w:rPr>
          <w:b w:val="0"/>
        </w:rPr>
        <w:t>Tái hiện: quy đổi một dòng đơn vị, bấm Thêm mới, nhập tên và hệ số hợp lệ rồi lưu. Thực tế báo “Đơn vị đã thay đổi. Hãy tải lại.” và không tạo đơn vị mới. URL còn id/action của lần quy đổi; nút chỉ mở editor, form gửi vào URL cũ khiến server hiểu là sửa. Lần kiểm tra không ghi sai dữ liệu cũ.</w:t>
      </w:r>
    </w:p>
    <w:p>
      <w:pPr>
        <w:widowControl/>
      </w:pPr>
      <w:r>
        <w:rPr>
          <w:b w:val="0"/>
        </w:rPr>
        <w:t>Hướng sửa đề xuất: tách URL hoặc action tạo mới rõ ràng và thêm kiểm thử chuỗi GET quy đổi → POST thêm mới qua servlet/container. Hồ sơ kiểm thử ghi chưa áp dụng sửa.</w:t>
      </w:r>
    </w:p>
    <w:p>
      <w:pPr>
        <w:pStyle w:val="Heading2"/>
      </w:pPr>
      <w:r>
        <w:t>Lỗi phân quyền khi nhận trả và giảm trừ</w:t>
      </w:r>
    </w:p>
    <w:p>
      <w:pPr>
        <w:widowControl/>
      </w:pPr>
      <w:r>
        <w:rPr>
          <w:b w:val="0"/>
        </w:rPr>
        <w:t>Trưởng kho có quyền nhận trả và kế toán có quyền giảm trừ nhìn thấy nút nhưng POST bị 403. AuthorizationFilter không truyền action cho /accounting/returns, làm RoutePermissions rơi vào quyền RETURN_WRITE thay vì quyền hành động tương ứng. Chứng từ không chuyển bước qua HTTP.</w:t>
      </w:r>
    </w:p>
    <w:p>
      <w:pPr>
        <w:widowControl/>
      </w:pPr>
      <w:r>
        <w:rPr>
          <w:b w:val="0"/>
        </w:rPr>
        <w:t>Hướng sửa đề xuất: ánh xạ action đầy đủ và bổ sung kiểm thử qua filter/HTTP cho đúng vai trò. Không cấp thêm quyền đại trà để né lỗi. Chưa có kết quả kiểm tra lại sau sửa trong các nguồn dùng cho tài liệu.</w:t>
      </w:r>
    </w:p>
    <w:p>
      <w:r>
        <w:br w:type="page"/>
      </w:r>
    </w:p>
    <w:p>
      <w:pPr>
        <w:pStyle w:val="Heading1"/>
      </w:pPr>
      <w:r>
        <w:t>7 Tài liệu đối chiếu và nội dung trình bày</w:t>
      </w:r>
    </w:p>
    <w:p>
      <w:pPr>
        <w:pStyle w:val="Heading2"/>
      </w:pPr>
      <w:r>
        <w:t>Các thành phần mã nguồn tiêu biểu</w:t>
      </w:r>
    </w:p>
    <w:p>
      <w:pPr>
        <w:widowControl/>
      </w:pPr>
      <w:r>
        <w:rPr>
          <w:b w:val="0"/>
        </w:rPr>
        <w:t>Các tên file dưới đây được đối chiếu với snapshot d0d2208. Servlet và Service nằm trong src/main/java/vn/codegym/salesinventory; JSP nằm trong src/main/webapp/WEB-INF/views; các bài kiểm thử nằm trong src/test/java.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val="true"/>
        </w:trPr>
        <w:tc>
          <w:tcPr>
            <w:tcW w:type="dxa" w:w="1872"/>
            <w:vAlign w:val="center"/>
            <w:tcMar>
              <w:top w:w="90" w:type="dxa"/>
              <w:bottom w:w="90" w:type="dxa"/>
              <w:left w:w="110" w:type="dxa"/>
              <w:right w:w="110" w:type="dxa"/>
            </w:tcMar>
            <w:shd w:fill="203B53"/>
          </w:tcPr>
          <w:p>
            <w:pPr>
              <w:spacing w:after="0" w:line="257" w:lineRule="auto"/>
            </w:pPr>
            <w:r>
              <w:rPr>
                <w:rFonts w:ascii="Arial" w:hAnsi="Arial"/>
                <w:b/>
                <w:color w:val="FFFFFF"/>
                <w:sz w:val="20"/>
              </w:rPr>
              <w:t>Nội dung</w:t>
            </w:r>
          </w:p>
        </w:tc>
        <w:tc>
          <w:tcPr>
            <w:tcW w:type="dxa" w:w="8208"/>
            <w:vAlign w:val="center"/>
            <w:tcMar>
              <w:top w:w="90" w:type="dxa"/>
              <w:bottom w:w="90" w:type="dxa"/>
              <w:left w:w="110" w:type="dxa"/>
              <w:right w:w="110" w:type="dxa"/>
            </w:tcMar>
            <w:shd w:fill="203B53"/>
          </w:tcPr>
          <w:p>
            <w:pPr>
              <w:spacing w:after="0" w:line="257" w:lineRule="auto"/>
            </w:pPr>
            <w:r>
              <w:rPr>
                <w:rFonts w:ascii="Arial" w:hAnsi="Arial"/>
                <w:b/>
                <w:color w:val="FFFFFF"/>
                <w:sz w:val="20"/>
              </w:rPr>
              <w:t>File hoặc nhóm kiểm thử</w:t>
            </w:r>
          </w:p>
        </w:tc>
      </w:tr>
      <w:tr>
        <w:trPr>
          <w:cantSplit/>
        </w:trPr>
        <w:tc>
          <w:tcPr>
            <w:tcW w:type="dxa" w:w="187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Đơn vị quy đổi</w:t>
            </w:r>
          </w:p>
        </w:tc>
        <w:tc>
          <w:tcPr>
            <w:tcW w:type="dxa" w:w="8208"/>
            <w:vAlign w:val="center"/>
            <w:tcMar>
              <w:top w:w="90" w:type="dxa"/>
              <w:bottom w:w="90" w:type="dxa"/>
              <w:left w:w="110" w:type="dxa"/>
              <w:right w:w="110" w:type="dxa"/>
            </w:tcMar>
            <w:shd w:fill="FFFFFF"/>
          </w:tcPr>
          <w:p>
            <w:pPr>
              <w:spacing w:after="0" w:line="257" w:lineRule="auto"/>
            </w:pPr>
            <w:r>
              <w:rPr>
                <w:rFonts w:ascii="Arial" w:hAnsi="Arial"/>
                <w:b w:val="0"/>
                <w:color w:val="000000"/>
                <w:sz w:val="20"/>
              </w:rPr>
              <w:t>controller/UnitServlet.java; service/UnitService.java; catalog/units.jsp; UnitAcceptanceIT</w:t>
            </w:r>
          </w:p>
        </w:tc>
      </w:tr>
      <w:tr>
        <w:trPr>
          <w:cantSplit/>
        </w:trPr>
        <w:tc>
          <w:tcPr>
            <w:tcW w:type="dxa" w:w="187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Điểm giao hàng</w:t>
            </w:r>
          </w:p>
        </w:tc>
        <w:tc>
          <w:tcPr>
            <w:tcW w:type="dxa" w:w="8208"/>
            <w:vAlign w:val="center"/>
            <w:tcMar>
              <w:top w:w="90" w:type="dxa"/>
              <w:bottom w:w="90" w:type="dxa"/>
              <w:left w:w="110" w:type="dxa"/>
              <w:right w:w="110" w:type="dxa"/>
            </w:tcMar>
            <w:shd w:fill="F1F5F8"/>
          </w:tcPr>
          <w:p>
            <w:pPr>
              <w:spacing w:after="0" w:line="257" w:lineRule="auto"/>
            </w:pPr>
            <w:r>
              <w:rPr>
                <w:rFonts w:ascii="Arial" w:hAnsi="Arial"/>
                <w:b w:val="0"/>
                <w:color w:val="000000"/>
                <w:sz w:val="20"/>
              </w:rPr>
              <w:t>controller/DealerAddressServlet.java; service/DealerAddressService.java; dealers/addresses.jsp; DealerAddressAcceptanceIT</w:t>
            </w:r>
          </w:p>
        </w:tc>
      </w:tr>
      <w:tr>
        <w:trPr>
          <w:cantSplit/>
        </w:trPr>
        <w:tc>
          <w:tcPr>
            <w:tcW w:type="dxa" w:w="1872"/>
            <w:vAlign w:val="center"/>
            <w:tcMar>
              <w:top w:w="90" w:type="dxa"/>
              <w:bottom w:w="90" w:type="dxa"/>
              <w:left w:w="110" w:type="dxa"/>
              <w:right w:w="110" w:type="dxa"/>
            </w:tcMar>
            <w:shd w:fill="FFFFFF"/>
          </w:tcPr>
          <w:p>
            <w:pPr>
              <w:spacing w:after="0" w:line="257" w:lineRule="auto"/>
            </w:pPr>
            <w:r>
              <w:rPr>
                <w:rFonts w:ascii="Arial" w:hAnsi="Arial"/>
                <w:b w:val="0"/>
                <w:color w:val="000000"/>
                <w:sz w:val="20"/>
              </w:rPr>
              <w:t>Đơn và tồn kho</w:t>
            </w:r>
          </w:p>
        </w:tc>
        <w:tc>
          <w:tcPr>
            <w:tcW w:type="dxa" w:w="8208"/>
            <w:vAlign w:val="center"/>
            <w:tcMar>
              <w:top w:w="90" w:type="dxa"/>
              <w:bottom w:w="90" w:type="dxa"/>
              <w:left w:w="110" w:type="dxa"/>
              <w:right w:w="110" w:type="dxa"/>
            </w:tcMar>
            <w:shd w:fill="FFFFFF"/>
          </w:tcPr>
          <w:p>
            <w:pPr>
              <w:spacing w:after="0" w:line="257" w:lineRule="auto"/>
            </w:pPr>
            <w:r>
              <w:rPr>
                <w:rFonts w:ascii="Arial" w:hAnsi="Arial"/>
                <w:b w:val="0"/>
                <w:color w:val="000000"/>
                <w:sz w:val="20"/>
              </w:rPr>
              <w:t>service/OrderService.java; service/StockService.java; controller/StockServlet.java; MvpStockAcceptanceIT</w:t>
            </w:r>
          </w:p>
        </w:tc>
      </w:tr>
      <w:tr>
        <w:trPr>
          <w:cantSplit/>
        </w:trPr>
        <w:tc>
          <w:tcPr>
            <w:tcW w:type="dxa" w:w="1872"/>
            <w:vAlign w:val="center"/>
            <w:tcMar>
              <w:top w:w="90" w:type="dxa"/>
              <w:bottom w:w="90" w:type="dxa"/>
              <w:left w:w="110" w:type="dxa"/>
              <w:right w:w="110" w:type="dxa"/>
            </w:tcMar>
            <w:shd w:fill="F1F5F8"/>
          </w:tcPr>
          <w:p>
            <w:pPr>
              <w:spacing w:after="0" w:line="257" w:lineRule="auto"/>
            </w:pPr>
            <w:r>
              <w:rPr>
                <w:rFonts w:ascii="Arial" w:hAnsi="Arial"/>
                <w:b w:val="0"/>
                <w:color w:val="000000"/>
                <w:sz w:val="20"/>
              </w:rPr>
              <w:t>Trả hàng</w:t>
            </w:r>
          </w:p>
        </w:tc>
        <w:tc>
          <w:tcPr>
            <w:tcW w:type="dxa" w:w="8208"/>
            <w:vAlign w:val="center"/>
            <w:tcMar>
              <w:top w:w="90" w:type="dxa"/>
              <w:bottom w:w="90" w:type="dxa"/>
              <w:left w:w="110" w:type="dxa"/>
              <w:right w:w="110" w:type="dxa"/>
            </w:tcMar>
            <w:shd w:fill="F1F5F8"/>
          </w:tcPr>
          <w:p>
            <w:pPr>
              <w:spacing w:after="0" w:line="257" w:lineRule="auto"/>
            </w:pPr>
            <w:r>
              <w:rPr>
                <w:rFonts w:ascii="Arial" w:hAnsi="Arial"/>
                <w:b w:val="0"/>
                <w:color w:val="000000"/>
                <w:sz w:val="20"/>
              </w:rPr>
              <w:t>controller/ReturnServlet.java; service/ReturnService.java; accounting/returns.jsp; MvpReturnAcceptanceIT</w:t>
            </w:r>
          </w:p>
        </w:tc>
      </w:tr>
    </w:tbl>
    <w:p>
      <w:pPr>
        <w:spacing w:after="0"/>
      </w:pPr>
    </w:p>
    <w:p>
      <w:pPr>
        <w:pStyle w:val="Heading2"/>
      </w:pPr>
      <w:r>
        <w:t>Nguồn truy vết</w:t>
      </w:r>
    </w:p>
    <w:p>
      <w:pPr>
        <w:spacing w:after="80"/>
      </w:pPr>
      <w:hyperlink r:id="rId11">
        <w:r>
          <w:rPr>
            <w:color w:val="174A72"/>
            <w:sz w:val="20"/>
          </w:rPr>
          <w:t>Repository Hệ thống bán hàng và kho</w:t>
        </w:r>
      </w:hyperlink>
    </w:p>
    <w:p>
      <w:pPr>
        <w:spacing w:after="80"/>
      </w:pPr>
      <w:hyperlink r:id="rId12">
        <w:r>
          <w:rPr>
            <w:color w:val="174A72"/>
            <w:sz w:val="20"/>
          </w:rPr>
          <w:t>Bản mã nguồn dùng đối chiếu d0d2208</w:t>
        </w:r>
      </w:hyperlink>
    </w:p>
    <w:p>
      <w:pPr>
        <w:spacing w:after="80"/>
      </w:pPr>
      <w:hyperlink r:id="rId13">
        <w:r>
          <w:rPr>
            <w:color w:val="174A72"/>
            <w:sz w:val="20"/>
          </w:rPr>
          <w:t>S2-07 / SCRUM-33  Đơn vị tính và hệ số quy đổi</w:t>
        </w:r>
      </w:hyperlink>
    </w:p>
    <w:p>
      <w:pPr>
        <w:spacing w:after="80"/>
      </w:pPr>
      <w:hyperlink r:id="rId14">
        <w:r>
          <w:rPr>
            <w:color w:val="174A72"/>
            <w:sz w:val="20"/>
          </w:rPr>
          <w:t>S3-04 / SCRUM-40  Nhiều điểm giao hàng</w:t>
        </w:r>
      </w:hyperlink>
    </w:p>
    <w:p>
      <w:pPr>
        <w:spacing w:after="80"/>
      </w:pPr>
      <w:hyperlink r:id="rId15">
        <w:r>
          <w:rPr>
            <w:color w:val="174A72"/>
            <w:sz w:val="20"/>
          </w:rPr>
          <w:t>S4-03 / SCRUM-49  Tồn khả dụng và chặn vượt tồn</w:t>
        </w:r>
      </w:hyperlink>
    </w:p>
    <w:p>
      <w:pPr>
        <w:spacing w:after="80"/>
      </w:pPr>
      <w:hyperlink r:id="rId16">
        <w:r>
          <w:rPr>
            <w:color w:val="174A72"/>
            <w:sz w:val="20"/>
          </w:rPr>
          <w:t>S5-05 / SCRUM-61  Sổ tồn theo SKU và kho</w:t>
        </w:r>
      </w:hyperlink>
    </w:p>
    <w:p>
      <w:pPr>
        <w:spacing w:after="80"/>
      </w:pPr>
      <w:hyperlink r:id="rId17">
        <w:r>
          <w:rPr>
            <w:color w:val="174A72"/>
            <w:sz w:val="20"/>
          </w:rPr>
          <w:t>EP-08 / SCRUM-15  Trả hàng và điều chỉnh</w:t>
        </w:r>
      </w:hyperlink>
    </w:p>
    <w:p>
      <w:pPr>
        <w:widowControl/>
      </w:pPr>
      <w:r>
        <w:rPr>
          <w:b w:val="0"/>
        </w:rPr>
        <w:t>Nguồn nội bộ đã lưu trong workspace: output/kiem-thu-trung-20261017/bao-cao-kiem-thu.md và tai-lieu-on-van-dap.md; kết hợp tài liệu phân công tại output/Trinh_bay_nhiem_vu_Trung. Phân công và kết quả được nêu theo lần đối chiếu tương ứng, không thay cho xác nhận nghiệm thu mới của nhóm.</w:t>
      </w:r>
    </w:p>
    <w:p>
      <w:pPr>
        <w:pStyle w:val="Heading2"/>
      </w:pPr>
      <w:r>
        <w:t>Bài giới thiệu ngắn về phần việc</w:t>
      </w:r>
    </w:p>
    <w:p>
      <w:pPr>
        <w:widowControl/>
      </w:pPr>
      <w:r>
        <w:rPr>
          <w:b w:val="0"/>
        </w:rPr>
        <w:t>“Em là Trương Văn Đức Trung. Phần được phân công của em liên quan đến quy đổi đơn vị, điểm giao hàng, kiểm soát tồn khả dụng, sổ tồn và Epic trả hàng, điều chỉnh. Với quy đổi, em cần bảo đảm số lượng thống nhất về đơn vị cơ sở và giao dịch cũ giữ snapshot. Với điểm giao, em cần bảo đảm đúng đại lý và tối đa một mặc định. Với tồn kho, hệ thống kiểm lại và giữ hàng trong transaction, còn dữ liệu xem phải đúng phạm vi. Khi báo cáo kết quả, em phân biệt các ca đã kiểm đạt, lỗi đã ghi nhận và phần chưa hoàn tất của Epic.”</w:t>
      </w:r>
    </w:p>
    <w:sectPr w:rsidR="00FC693F" w:rsidRPr="0006063C" w:rsidSect="00034616">
      <w:headerReference w:type="default" r:id="rId9"/>
      <w:footerReference w:type="default" r:id="rId10"/>
      <w:pgSz w:w="12240" w:h="15840"/>
      <w:pgMar w:top="979" w:right="1080" w:bottom="936"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Trương Văn Đức Trung  |  Trang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HỆ THỐNG QUẢN LÝ BÁN HÀNG VÀ KHO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64" w:lineRule="auto"/>
      <w:outlineLvl w:val="0"/>
    </w:pPr>
    <w:rPr>
      <w:rFonts w:asciiTheme="majorHAnsi" w:eastAsiaTheme="majorEastAsia" w:hAnsiTheme="majorHAnsi" w:cstheme="majorBidi" w:ascii="Arial" w:hAnsi="Arial" w:eastAsia="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00" w:line="264" w:lineRule="auto"/>
      <w:outlineLvl w:val="1"/>
    </w:pPr>
    <w:rPr>
      <w:rFonts w:asciiTheme="majorHAnsi" w:eastAsiaTheme="majorEastAsia" w:hAnsiTheme="majorHAnsi" w:cstheme="majorBidi" w:ascii="Arial" w:hAnsi="Arial" w:eastAsia="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Arial" w:hAnsi="Arial" w:eastAsia="Arial"/>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contextualSpacing/>
    </w:pPr>
    <w:rPr>
      <w:rFonts w:asciiTheme="majorHAnsi" w:eastAsiaTheme="majorEastAsia" w:hAnsiTheme="majorHAnsi" w:cstheme="majorBidi" w:ascii="Arial" w:hAnsi="Arial" w:eastAsia="Arial"/>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64" w:lineRule="auto"/>
    </w:pPr>
    <w:rPr>
      <w:rFonts w:asciiTheme="majorHAnsi" w:eastAsiaTheme="majorEastAsia" w:hAnsiTheme="majorHAnsi" w:cstheme="majorBidi" w:ascii="Arial" w:hAnsi="Arial" w:eastAsia="Arial"/>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Arial" w:hAnsi="Arial" w:eastAsia="Arial"/>
      <w:color w:val="000000"/>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eastAsia="Arial"/>
      <w:color w:val="000000"/>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Arial" w:hAnsi="Arial" w:eastAsia="Arial"/>
      <w:color w:val="000000"/>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ietdotest/He_thong_ban_hang_va_kho" TargetMode="External"/><Relationship Id="rId12" Type="http://schemas.openxmlformats.org/officeDocument/2006/relationships/hyperlink" Target="https://github.com/vietdotest/He_thong_ban_hang_va_kho/commit/d0d2208" TargetMode="External"/><Relationship Id="rId13" Type="http://schemas.openxmlformats.org/officeDocument/2006/relationships/hyperlink" Target="https://vietdo.atlassian.net/browse/SCRUM-33" TargetMode="External"/><Relationship Id="rId14" Type="http://schemas.openxmlformats.org/officeDocument/2006/relationships/hyperlink" Target="https://vietdo.atlassian.net/browse/SCRUM-40" TargetMode="External"/><Relationship Id="rId15" Type="http://schemas.openxmlformats.org/officeDocument/2006/relationships/hyperlink" Target="https://vietdo.atlassian.net/browse/SCRUM-49" TargetMode="External"/><Relationship Id="rId16" Type="http://schemas.openxmlformats.org/officeDocument/2006/relationships/hyperlink" Target="https://vietdo.atlassian.net/browse/SCRUM-61" TargetMode="External"/><Relationship Id="rId17" Type="http://schemas.openxmlformats.org/officeDocument/2006/relationships/hyperlink" Target="https://vietdo.atlassian.net/browse/SCRUM-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và phần việc cá nhân</dc:title>
  <dc:subject>Hệ thống quản lý bán hàng và kho</dc:subject>
  <dc:creator>Trương Văn Đức Trung</dc:creator>
  <cp:keywords>S2-07, S3-04, S4-03, S5-05, EP-08, báo cáo cá nhân</cp:keywords>
  <dc:description>Biên soạn ngày 21/10/2026 từ mã nguồn và hồ sơ đối chiếu ngày 17/10/2026.</dc:description>
  <cp:lastModifiedBy/>
  <cp:revision>1</cp:revision>
  <dcterms:created xsi:type="dcterms:W3CDTF">2013-12-23T23:15:00Z</dcterms:created>
  <dcterms:modified xsi:type="dcterms:W3CDTF">2013-12-23T23:15:00Z</dcterms:modified>
  <cp:category/>
</cp:coreProperties>
</file>