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20817"/>
          <w:sz w:val="60"/>
        </w:rPr>
        <w:t>Edlintics</w:t>
      </w:r>
      <w:r>
        <w:rPr>
          <w:rFonts w:ascii="Calibri" w:hAnsi="Calibri"/>
          <w:b/>
          <w:color w:val="467DE3"/>
          <w:sz w:val="36"/>
        </w:rPr>
        <w:t xml:space="preserve">  -  Marketing Strategy Proposal</w:t>
      </w:r>
    </w:p>
    <w:p>
      <w:pPr>
        <w:spacing w:after="40"/>
      </w:pPr>
      <w:r>
        <w:rPr>
          <w:rFonts w:ascii="Calibri" w:hAnsi="Calibri"/>
          <w:color w:val="64748B"/>
          <w:sz w:val="24"/>
        </w:rPr>
        <w:t>Fall 2026 Launch  -  Direction, Pillars, and the First 12 Weeks</w:t>
      </w:r>
    </w:p>
    <w:p>
      <w:pPr>
        <w:spacing w:after="40"/>
      </w:pPr>
      <w:r>
        <w:rPr>
          <w:rFonts w:ascii="Calibri" w:hAnsi="Calibri"/>
          <w:color w:val="64748B"/>
          <w:sz w:val="20"/>
        </w:rPr>
        <w:t>Prepared by: Marketing Manager</w:t>
        <w:br/>
      </w:r>
      <w:r>
        <w:rPr>
          <w:rFonts w:ascii="Calibri" w:hAnsi="Calibri"/>
          <w:color w:val="64748B"/>
          <w:sz w:val="20"/>
        </w:rPr>
        <w:t>For: Hoang Truong, Founder and CEO</w:t>
        <w:br/>
      </w:r>
      <w:r>
        <w:rPr>
          <w:rFonts w:ascii="Calibri" w:hAnsi="Calibri"/>
          <w:color w:val="64748B"/>
          <w:sz w:val="20"/>
        </w:rPr>
        <w:t>Date: 6 June 2026</w:t>
        <w:br/>
      </w:r>
      <w:r>
        <w:rPr>
          <w:rFonts w:ascii="Calibri" w:hAnsi="Calibri"/>
          <w:color w:val="64748B"/>
          <w:sz w:val="20"/>
        </w:rPr>
        <w:t>Status: Proposal for decision  -  nothing is locked until you approve</w:t>
        <w:br/>
      </w:r>
    </w:p>
    <w:p>
      <w:pPr>
        <w:pBdr>
          <w:bottom w:val="single" w:sz="12" w:space="1" w:color="467DE3"/>
        </w:pBdr>
      </w:pPr>
    </w:p>
    <w:p>
      <w:pPr>
        <w:spacing w:before="280" w:after="80"/>
        <w:pBdr>
          <w:bottom w:val="single" w:sz="6" w:space="2" w:color="467DE3"/>
        </w:pBdr>
      </w:pPr>
      <w:r>
        <w:rPr>
          <w:rFonts w:ascii="Calibri" w:hAnsi="Calibri"/>
          <w:b/>
          <w:color w:val="467DE3"/>
          <w:sz w:val="30"/>
        </w:rPr>
        <w:t>1.  Executive summary</w:t>
      </w:r>
    </w:p>
    <w:p>
      <w:pPr>
        <w:spacing w:after="120"/>
      </w:pPr>
      <w:r>
        <w:rPr>
          <w:rFonts w:ascii="Calibri" w:hAnsi="Calibri"/>
          <w:b w:val="0"/>
          <w:i w:val="0"/>
          <w:color w:val="020817"/>
          <w:sz w:val="21"/>
        </w:rPr>
        <w:t>We launch on 1 September 2026, twelve weeks from now. Our buyer is a business undergraduate at a prestige European school who is quietly afraid of failing a specific exam. Demand for what we sell is not steady. It spikes hard with the autumn exam cycle: a midterm wave in mid-October to early November, a finals wave in early-to-mid December.</w:t>
      </w:r>
    </w:p>
    <w:p>
      <w:pPr>
        <w:spacing w:after="120"/>
      </w:pPr>
      <w:r>
        <w:rPr>
          <w:rFonts w:ascii="Calibri" w:hAnsi="Calibri"/>
          <w:b w:val="0"/>
          <w:i w:val="0"/>
          <w:color w:val="020817"/>
          <w:sz w:val="21"/>
        </w:rPr>
        <w:t>The recommendation in one line: spend June to August building a library of worked, on-screen exam-problem content so that by the time the October panic arrives, we already rank and already have an audience. The binding constraint is time, not money. Content that is published in October is too late, because reach and search ranking take weeks to compound.</w:t>
      </w:r>
    </w:p>
    <w:p>
      <w:pPr>
        <w:spacing w:after="120"/>
      </w:pPr>
      <w:r>
        <w:rPr>
          <w:rFonts w:ascii="Calibri" w:hAnsi="Calibri"/>
          <w:b w:val="0"/>
          <w:i w:val="0"/>
          <w:color w:val="020817"/>
          <w:sz w:val="21"/>
        </w:rPr>
        <w:t>Three content pillars carry the plan: (1) Worked, Not Watched, the flagship format that is itself a demonstration of our paid session; (2) The Concept You Will Be Tested On, a seasonal series timed to each exam wave; (3) What AI Gets Wrong, the differentiator that turns ChatGPT from a competitor into the reason our product exists.</w:t>
      </w:r>
    </w:p>
    <w:p>
      <w:pPr>
        <w:spacing w:after="120"/>
      </w:pPr>
      <w:r>
        <w:rPr>
          <w:rFonts w:ascii="Calibri" w:hAnsi="Calibri"/>
          <w:b w:val="0"/>
          <w:i w:val="0"/>
          <w:color w:val="020817"/>
          <w:sz w:val="21"/>
        </w:rPr>
        <w:t>The market scan confirms the wedge is real. The exact-concept lane on TikTok is nearly empty (the financial-accounting hashtag holds roughly 4,000 videos against 4.2 million on the broad study hashtag), and the few creators who own it teach abstract concepts for a US professional audience, not exam-specific problems for European undergraduates. Nobody owns the thing our product already is.</w:t>
      </w:r>
    </w:p>
    <w:p>
      <w:pPr>
        <w:spacing w:after="120"/>
      </w:pPr>
      <w:r>
        <w:rPr>
          <w:rFonts w:ascii="Calibri" w:hAnsi="Calibri"/>
          <w:b/>
          <w:i w:val="0"/>
          <w:color w:val="020817"/>
          <w:sz w:val="21"/>
        </w:rPr>
        <w:t>What I need from you is on the last page: five decisions and a green light to start filming the flagship problems in June.</w:t>
      </w:r>
    </w:p>
    <w:p>
      <w:pPr>
        <w:spacing w:before="280" w:after="80"/>
        <w:pBdr>
          <w:bottom w:val="single" w:sz="6" w:space="2" w:color="467DE3"/>
        </w:pBdr>
      </w:pPr>
      <w:r>
        <w:rPr>
          <w:rFonts w:ascii="Calibri" w:hAnsi="Calibri"/>
          <w:b/>
          <w:color w:val="467DE3"/>
          <w:sz w:val="30"/>
        </w:rPr>
        <w:t>2.  The situation</w:t>
      </w:r>
    </w:p>
    <w:p>
      <w:pPr>
        <w:spacing w:before="180" w:after="80"/>
      </w:pPr>
      <w:r>
        <w:rPr>
          <w:rFonts w:ascii="Calibri" w:hAnsi="Calibri"/>
          <w:b/>
          <w:color w:val="3669CC"/>
          <w:sz w:val="21"/>
        </w:rPr>
        <w:t>Where we are</w:t>
      </w:r>
    </w:p>
    <w:p>
      <w:pPr>
        <w:pStyle w:val="ListBullet"/>
        <w:spacing w:after="60"/>
      </w:pPr>
      <w:r>
        <w:rPr>
          <w:rFonts w:ascii="Calibri" w:hAnsi="Calibri"/>
          <w:b/>
          <w:color w:val="020817"/>
          <w:sz w:val="21"/>
        </w:rPr>
        <w:t xml:space="preserve">Twelve weeks </w:t>
      </w:r>
      <w:r>
        <w:rPr>
          <w:rFonts w:ascii="Calibri" w:hAnsi="Calibri"/>
          <w:color w:val="020817"/>
          <w:sz w:val="21"/>
        </w:rPr>
        <w:t>until launch. The product is built; this is the demand-generation gap.</w:t>
      </w:r>
    </w:p>
    <w:p>
      <w:pPr>
        <w:pStyle w:val="ListBullet"/>
        <w:spacing w:after="60"/>
      </w:pPr>
      <w:r>
        <w:rPr>
          <w:rFonts w:ascii="Calibri" w:hAnsi="Calibri"/>
          <w:b/>
          <w:color w:val="020817"/>
          <w:sz w:val="21"/>
        </w:rPr>
        <w:t xml:space="preserve">Demand is dictated by </w:t>
      </w:r>
      <w:r>
        <w:rPr>
          <w:rFonts w:ascii="Calibri" w:hAnsi="Calibri"/>
          <w:color w:val="020817"/>
          <w:sz w:val="21"/>
        </w:rPr>
        <w:t>the European autumn exam cycle. The IE University calendar (our persona's school) starts 31 August, clusters midterms in mid-to-late October, and ends classes 18 December with finals concentrated before it. LSE, HEC, ESCP and Bocconi follow the same shape.</w:t>
      </w:r>
    </w:p>
    <w:p>
      <w:pPr>
        <w:pStyle w:val="ListBullet"/>
        <w:spacing w:after="60"/>
      </w:pPr>
      <w:r>
        <w:rPr>
          <w:rFonts w:ascii="Calibri" w:hAnsi="Calibri"/>
          <w:b/>
          <w:color w:val="020817"/>
          <w:sz w:val="21"/>
        </w:rPr>
        <w:t xml:space="preserve">The moat is the live screen-share session. Without it we sell </w:t>
      </w:r>
      <w:r>
        <w:rPr>
          <w:rFonts w:ascii="Calibri" w:hAnsi="Calibri"/>
          <w:color w:val="020817"/>
          <w:sz w:val="21"/>
        </w:rPr>
        <w:t>a documentation product, not a tutoring product. So marketing has to sell the live session, not just the notes. Our north-star metric is session completion before the exam.</w:t>
      </w:r>
    </w:p>
    <w:p>
      <w:pPr>
        <w:spacing w:before="180" w:after="80"/>
      </w:pPr>
      <w:r>
        <w:rPr>
          <w:rFonts w:ascii="Calibri" w:hAnsi="Calibri"/>
          <w:b/>
          <w:color w:val="3669CC"/>
          <w:sz w:val="21"/>
        </w:rPr>
        <w:t>What the market looks like right now</w:t>
      </w:r>
    </w:p>
    <w:p>
      <w:pPr>
        <w:pStyle w:val="ListBullet"/>
        <w:spacing w:after="60"/>
      </w:pPr>
      <w:r>
        <w:rPr>
          <w:rFonts w:ascii="Calibri" w:hAnsi="Calibri"/>
          <w:b/>
          <w:color w:val="020817"/>
          <w:sz w:val="21"/>
        </w:rPr>
        <w:t xml:space="preserve">76 percent of Gen Z </w:t>
      </w:r>
      <w:r>
        <w:rPr>
          <w:rFonts w:ascii="Calibri" w:hAnsi="Calibri"/>
          <w:color w:val="020817"/>
          <w:sz w:val="21"/>
        </w:rPr>
        <w:t>learn finance from TikTok and YouTube, but that is personal finance (budgeting, investing). Our buyer has the opposite intent: pass an academic exam. Same platforms, different universe.</w:t>
      </w:r>
    </w:p>
    <w:p>
      <w:pPr>
        <w:pStyle w:val="ListBullet"/>
        <w:spacing w:after="60"/>
      </w:pPr>
      <w:r>
        <w:rPr>
          <w:rFonts w:ascii="Calibri" w:hAnsi="Calibri"/>
          <w:b/>
          <w:color w:val="020817"/>
          <w:sz w:val="21"/>
        </w:rPr>
        <w:t xml:space="preserve">Short-form mechanics in 2026 reward usefulness: </w:t>
      </w:r>
      <w:r>
        <w:rPr>
          <w:rFonts w:ascii="Calibri" w:hAnsi="Calibri"/>
          <w:color w:val="020817"/>
          <w:sz w:val="21"/>
        </w:rPr>
        <w:t>the first three seconds drive about 80 percent of completion, completion matters more than length, and saves and shares (not likes) are what the algorithm rewards. A calm, useful, no-hype voice is an asset here, not a handicap.</w:t>
      </w:r>
    </w:p>
    <w:p>
      <w:pPr>
        <w:pStyle w:val="ListBullet"/>
        <w:spacing w:after="60"/>
      </w:pPr>
      <w:r>
        <w:rPr>
          <w:rFonts w:ascii="Calibri" w:hAnsi="Calibri"/>
          <w:b/>
          <w:color w:val="020817"/>
          <w:sz w:val="21"/>
        </w:rPr>
        <w:t xml:space="preserve">YouTube is functioning as </w:t>
      </w:r>
      <w:r>
        <w:rPr>
          <w:rFonts w:ascii="Calibri" w:hAnsi="Calibri"/>
          <w:color w:val="020817"/>
          <w:sz w:val="21"/>
        </w:rPr>
        <w:t>a search engine for revision. Students type a concept they are stuck on and watch the top result. This rewards evergreen, concept-named content, which compounds in our favour over time.</w:t>
      </w:r>
    </w:p>
    <w:p>
      <w:pPr>
        <w:spacing w:before="280" w:after="80"/>
        <w:pBdr>
          <w:bottom w:val="single" w:sz="6" w:space="2" w:color="467DE3"/>
        </w:pBdr>
      </w:pPr>
      <w:r>
        <w:rPr>
          <w:rFonts w:ascii="Calibri" w:hAnsi="Calibri"/>
          <w:b/>
          <w:color w:val="467DE3"/>
          <w:sz w:val="30"/>
        </w:rPr>
        <w:t>3.  The strategic insight</w:t>
      </w:r>
    </w:p>
    <w:p>
      <w:pPr>
        <w:spacing w:after="120"/>
      </w:pPr>
      <w:r>
        <w:rPr>
          <w:rFonts w:ascii="Calibri" w:hAnsi="Calibri"/>
          <w:b w:val="0"/>
          <w:i w:val="0"/>
          <w:color w:val="020817"/>
          <w:sz w:val="21"/>
        </w:rPr>
        <w:t>Three facts combine into one wedge that only Edlintics can occupy.</w:t>
      </w:r>
    </w:p>
    <w:p>
      <w:pPr>
        <w:pStyle w:val="ListBullet"/>
        <w:spacing w:after="60"/>
      </w:pPr>
      <w:r>
        <w:rPr>
          <w:rFonts w:ascii="Calibri" w:hAnsi="Calibri"/>
          <w:b/>
          <w:color w:val="020817"/>
          <w:sz w:val="21"/>
        </w:rPr>
        <w:t xml:space="preserve">The exact-concept lane is open. On TikTok, </w:t>
      </w:r>
      <w:r>
        <w:rPr>
          <w:rFonts w:ascii="Calibri" w:hAnsi="Calibri"/>
          <w:color w:val="020817"/>
          <w:sz w:val="21"/>
        </w:rPr>
        <w:t>the broad study hashtag has 4.2 million videos; the exact financial-accounting hashtag has about 4,000. The closer a concept is to an actual exam, the less competition exists.</w:t>
      </w:r>
    </w:p>
    <w:p>
      <w:pPr>
        <w:pStyle w:val="ListBullet"/>
        <w:spacing w:after="60"/>
      </w:pPr>
      <w:r>
        <w:rPr>
          <w:rFonts w:ascii="Calibri" w:hAnsi="Calibri"/>
          <w:b/>
          <w:color w:val="020817"/>
          <w:sz w:val="21"/>
        </w:rPr>
        <w:t xml:space="preserve">The incumbents aim elsewhere. </w:t>
      </w:r>
      <w:r>
        <w:rPr>
          <w:rFonts w:ascii="Calibri" w:hAnsi="Calibri"/>
          <w:color w:val="020817"/>
          <w:sz w:val="21"/>
        </w:rPr>
        <w:t>the leaders (for example the dominant financial-accounting creator on TikTok) teach concepts in the abstract for a US, CPA, finance-professional audience. None of them teach the specific kind of problem a European Year-1 undergraduate will face on a midterm.</w:t>
      </w:r>
    </w:p>
    <w:p>
      <w:pPr>
        <w:pStyle w:val="ListBullet"/>
        <w:spacing w:after="60"/>
      </w:pPr>
      <w:r>
        <w:rPr>
          <w:rFonts w:ascii="Calibri" w:hAnsi="Calibri"/>
          <w:b/>
          <w:color w:val="020817"/>
          <w:sz w:val="21"/>
        </w:rPr>
        <w:t xml:space="preserve">AI raises our value, it does not lower it: </w:t>
      </w:r>
      <w:r>
        <w:rPr>
          <w:rFonts w:ascii="Calibri" w:hAnsi="Calibri"/>
          <w:color w:val="020817"/>
          <w:sz w:val="21"/>
        </w:rPr>
        <w:t>on accounting assessments, students still beat ChatGPT (roughly 77 percent against 47 percent). Accounting is a domain where AI is unreliable enough to be dangerous to lean on. That makes our message honest: AI gives you an answer; it cannot watch you try and stop you at the moment your reasoning breaks. That is the session.</w:t>
      </w:r>
    </w:p>
    <w:p>
      <w:pPr>
        <w:spacing w:after="120"/>
      </w:pPr>
      <w:r>
        <w:rPr>
          <w:rFonts w:ascii="Calibri" w:hAnsi="Calibri"/>
          <w:b/>
          <w:i w:val="0"/>
          <w:color w:val="020817"/>
          <w:sz w:val="21"/>
        </w:rPr>
        <w:t>The wedge: be the person who solves the exact problem your exam will ask, on screen, in the calm voice of someone who has done it, and who will then get on a call and watch you do it. That is not a content idea bolted onto the product. It is the product, filmed.</w:t>
      </w:r>
    </w:p>
    <w:p>
      <w:pPr>
        <w:spacing w:before="280" w:after="80"/>
        <w:pBdr>
          <w:bottom w:val="single" w:sz="6" w:space="2" w:color="467DE3"/>
        </w:pBdr>
      </w:pPr>
      <w:r>
        <w:rPr>
          <w:rFonts w:ascii="Calibri" w:hAnsi="Calibri"/>
          <w:b/>
          <w:color w:val="467DE3"/>
          <w:sz w:val="30"/>
        </w:rPr>
        <w:t>4.  Target and positioning</w:t>
      </w:r>
    </w:p>
    <w:p>
      <w:pPr>
        <w:spacing w:before="180" w:after="80"/>
      </w:pPr>
      <w:r>
        <w:rPr>
          <w:rFonts w:ascii="Calibri" w:hAnsi="Calibri"/>
          <w:b/>
          <w:color w:val="3669CC"/>
          <w:sz w:val="21"/>
        </w:rPr>
        <w:t>Who we are talking to</w:t>
      </w:r>
    </w:p>
    <w:p>
      <w:pPr>
        <w:spacing w:after="120"/>
      </w:pPr>
      <w:r>
        <w:rPr>
          <w:rFonts w:ascii="Calibri" w:hAnsi="Calibri"/>
          <w:b w:val="0"/>
          <w:i w:val="0"/>
          <w:color w:val="020817"/>
          <w:sz w:val="21"/>
        </w:rPr>
        <w:t>Sofia, 19, first-year business student at a prestige European school, studying in English, anxious about one specific exam in the next three to six weeks. She reads carefully, dislikes videos over ten minutes, studies on her phone between classes, and her priority order is: pass the exam, not feel stupid in front of a tutor, not waste her parents' money.</w:t>
      </w:r>
    </w:p>
    <w:p>
      <w:pPr>
        <w:spacing w:before="180" w:after="80"/>
      </w:pPr>
      <w:r>
        <w:rPr>
          <w:rFonts w:ascii="Calibri" w:hAnsi="Calibri"/>
          <w:b/>
          <w:color w:val="3669CC"/>
          <w:sz w:val="21"/>
        </w:rPr>
        <w:t>How we position</w:t>
      </w:r>
    </w:p>
    <w:p>
      <w:pPr>
        <w:pStyle w:val="ListBullet"/>
        <w:spacing w:after="60"/>
      </w:pPr>
      <w:r>
        <w:rPr>
          <w:rFonts w:ascii="Calibri" w:hAnsi="Calibri"/>
          <w:b/>
          <w:color w:val="020817"/>
          <w:sz w:val="21"/>
        </w:rPr>
        <w:t xml:space="preserve">Topic-led: </w:t>
      </w:r>
      <w:r>
        <w:rPr>
          <w:rFonts w:ascii="Calibri" w:hAnsi="Calibri"/>
          <w:color w:val="020817"/>
          <w:sz w:val="21"/>
        </w:rPr>
        <w:t>a concept is always the headline (T-accounts, cash-flow statements, consolidation, deferred tax). A university is named only as secondary context, never in the headline. This protects the brand on trademark and independence.</w:t>
      </w:r>
    </w:p>
    <w:p>
      <w:pPr>
        <w:pStyle w:val="ListBullet"/>
        <w:spacing w:after="60"/>
      </w:pPr>
      <w:r>
        <w:rPr>
          <w:rFonts w:ascii="Calibri" w:hAnsi="Calibri"/>
          <w:b/>
          <w:color w:val="020817"/>
          <w:sz w:val="21"/>
        </w:rPr>
        <w:t xml:space="preserve">Voice: </w:t>
      </w:r>
      <w:r>
        <w:rPr>
          <w:rFonts w:ascii="Calibri" w:hAnsi="Calibri"/>
          <w:color w:val="020817"/>
          <w:sz w:val="21"/>
        </w:rPr>
        <w:t>calm, expert, direct, practical, slightly serious. No exclamation points, no emoji, no hype. We earn attention with the idea. This voice is rare in the niche and it reads as the adult in the room.</w:t>
      </w:r>
    </w:p>
    <w:p>
      <w:pPr>
        <w:pStyle w:val="ListBullet"/>
        <w:spacing w:after="60"/>
      </w:pPr>
      <w:r>
        <w:rPr>
          <w:rFonts w:ascii="Calibri" w:hAnsi="Calibri"/>
          <w:b/>
          <w:color w:val="020817"/>
          <w:sz w:val="21"/>
        </w:rPr>
        <w:t xml:space="preserve">Independent: </w:t>
      </w:r>
      <w:r>
        <w:rPr>
          <w:rFonts w:ascii="Calibri" w:hAnsi="Calibri"/>
          <w:color w:val="020817"/>
          <w:sz w:val="21"/>
        </w:rPr>
        <w:t>we are not affiliated with any university, and we say so. The names appear as factual context for who the content is built for.</w:t>
      </w:r>
    </w:p>
    <w:p>
      <w:pPr>
        <w:spacing w:before="280" w:after="80"/>
        <w:pBdr>
          <w:bottom w:val="single" w:sz="6" w:space="2" w:color="467DE3"/>
        </w:pBdr>
      </w:pPr>
      <w:r>
        <w:rPr>
          <w:rFonts w:ascii="Calibri" w:hAnsi="Calibri"/>
          <w:b/>
          <w:color w:val="467DE3"/>
          <w:sz w:val="30"/>
        </w:rPr>
        <w:t>5.  The three content pillars</w:t>
      </w:r>
    </w:p>
    <w:p>
      <w:pPr>
        <w:spacing w:after="120"/>
      </w:pPr>
      <w:r>
        <w:rPr>
          <w:rFonts w:ascii="Calibri" w:hAnsi="Calibri"/>
          <w:b w:val="0"/>
          <w:i/>
          <w:color w:val="64748B"/>
          <w:sz w:val="20"/>
        </w:rPr>
        <w:t>Each pillar is a durable theme, not a campaign. Together they cover the full job: get found, build trust, and convert. Pillar 1 is the spine, Pillar 2 is the schedule it runs on, Pillar 3 is the sharpest differentiator.</w:t>
      </w:r>
    </w:p>
    <w:p>
      <w:pPr>
        <w:spacing w:before="180" w:after="80"/>
      </w:pPr>
      <w:r>
        <w:rPr>
          <w:rFonts w:ascii="Calibri" w:hAnsi="Calibri"/>
          <w:b/>
          <w:color w:val="020817"/>
          <w:sz w:val="24"/>
        </w:rPr>
        <w:t>Pillar 1  -  Worked, Not Watched</w:t>
      </w:r>
    </w:p>
    <w:p>
      <w:pPr>
        <w:spacing w:after="120"/>
      </w:pPr>
      <w:r>
        <w:rPr>
          <w:rFonts w:ascii="Calibri" w:hAnsi="Calibri"/>
          <w:b w:val="0"/>
          <w:i w:val="0"/>
          <w:color w:val="020817"/>
          <w:sz w:val="21"/>
        </w:rPr>
        <w:t>Calm, screen-recorded walk-throughs in which Hoang solves one exam-style problem in Excel or Sheets, narrating the reasoning and naming the exact point where students lose marks. The content is a direct preview of the paid session.</w:t>
      </w:r>
    </w:p>
    <w:tbl>
      <w:tblPr>
        <w:tblStyle w:val="TableGrid"/>
        <w:tblW w:type="auto" w:w="0"/>
        <w:jc w:val="center"/>
        <w:tblLook w:firstColumn="1" w:firstRow="1" w:lastColumn="0" w:lastRow="0" w:noHBand="0" w:noVBand="1" w:val="04A0"/>
      </w:tblPr>
      <w:tblGrid>
        <w:gridCol w:w="4320"/>
        <w:gridCol w:w="4320"/>
      </w:tblGrid>
      <w:tr>
        <w:tc>
          <w:tcPr>
            <w:tcW w:type="dxa" w:w="2016"/>
            <w:shd w:val="clear" w:color="auto" w:fill="467DE3"/>
          </w:tcPr>
          <w:p>
            <w:pPr>
              <w:spacing w:after="40" w:before="40"/>
            </w:pPr>
            <w:r/>
            <w:r>
              <w:rPr>
                <w:rFonts w:ascii="Calibri" w:hAnsi="Calibri"/>
                <w:b/>
                <w:color w:val="FFFFFF"/>
                <w:sz w:val="19"/>
              </w:rPr>
              <w:t>Dimension</w:t>
            </w:r>
          </w:p>
        </w:tc>
        <w:tc>
          <w:tcPr>
            <w:tcW w:type="dxa" w:w="7344"/>
            <w:shd w:val="clear" w:color="auto" w:fill="467DE3"/>
          </w:tcPr>
          <w:p>
            <w:pPr>
              <w:spacing w:after="40" w:before="40"/>
            </w:pPr>
            <w:r/>
            <w:r>
              <w:rPr>
                <w:rFonts w:ascii="Calibri" w:hAnsi="Calibri"/>
                <w:b/>
                <w:color w:val="FFFFFF"/>
                <w:sz w:val="19"/>
              </w:rPr>
              <w:t>Detail</w:t>
            </w:r>
          </w:p>
        </w:tc>
      </w:tr>
      <w:tr>
        <w:tc>
          <w:tcPr>
            <w:tcW w:type="dxa" w:w="2016"/>
          </w:tcPr>
          <w:p>
            <w:pPr>
              <w:spacing w:after="40" w:before="40"/>
            </w:pPr>
            <w:r/>
            <w:r>
              <w:rPr>
                <w:rFonts w:ascii="Calibri" w:hAnsi="Calibri"/>
                <w:b w:val="0"/>
                <w:color w:val="020817"/>
                <w:sz w:val="19"/>
              </w:rPr>
              <w:t>Thesis</w:t>
            </w:r>
          </w:p>
        </w:tc>
        <w:tc>
          <w:tcPr>
            <w:tcW w:type="dxa" w:w="7344"/>
          </w:tcPr>
          <w:p>
            <w:pPr>
              <w:spacing w:after="40" w:before="40"/>
            </w:pPr>
            <w:r/>
            <w:r>
              <w:rPr>
                <w:rFonts w:ascii="Calibri" w:hAnsi="Calibri"/>
                <w:b w:val="0"/>
                <w:color w:val="020817"/>
                <w:sz w:val="19"/>
              </w:rPr>
              <w:t>Show the problem being solved, do not talk about solving problems.</w:t>
            </w:r>
          </w:p>
        </w:tc>
      </w:tr>
      <w:tr>
        <w:tc>
          <w:tcPr>
            <w:tcW w:type="dxa" w:w="2016"/>
            <w:shd w:val="clear" w:color="auto" w:fill="F1F5F9"/>
          </w:tcPr>
          <w:p>
            <w:pPr>
              <w:spacing w:after="40" w:before="40"/>
            </w:pPr>
            <w:r/>
            <w:r>
              <w:rPr>
                <w:rFonts w:ascii="Calibri" w:hAnsi="Calibri"/>
                <w:b w:val="0"/>
                <w:color w:val="020817"/>
                <w:sz w:val="19"/>
              </w:rPr>
              <w:t>Native format</w:t>
            </w:r>
          </w:p>
        </w:tc>
        <w:tc>
          <w:tcPr>
            <w:tcW w:type="dxa" w:w="7344"/>
            <w:shd w:val="clear" w:color="auto" w:fill="F1F5F9"/>
          </w:tcPr>
          <w:p>
            <w:pPr>
              <w:spacing w:after="40" w:before="40"/>
            </w:pPr>
            <w:r/>
            <w:r>
              <w:rPr>
                <w:rFonts w:ascii="Calibri" w:hAnsi="Calibri"/>
                <w:b w:val="0"/>
                <w:color w:val="020817"/>
                <w:sz w:val="19"/>
              </w:rPr>
              <w:t>5-8 min worked example on YouTube (evergreen anchor), cut into 30-50s hooks for TikTok, Reels, Shorts.</w:t>
            </w:r>
          </w:p>
        </w:tc>
      </w:tr>
      <w:tr>
        <w:tc>
          <w:tcPr>
            <w:tcW w:type="dxa" w:w="2016"/>
          </w:tcPr>
          <w:p>
            <w:pPr>
              <w:spacing w:after="40" w:before="40"/>
            </w:pPr>
            <w:r/>
            <w:r>
              <w:rPr>
                <w:rFonts w:ascii="Calibri" w:hAnsi="Calibri"/>
                <w:b w:val="0"/>
                <w:color w:val="020817"/>
                <w:sz w:val="19"/>
              </w:rPr>
              <w:t>Why it wins</w:t>
            </w:r>
          </w:p>
        </w:tc>
        <w:tc>
          <w:tcPr>
            <w:tcW w:type="dxa" w:w="7344"/>
          </w:tcPr>
          <w:p>
            <w:pPr>
              <w:spacing w:after="40" w:before="40"/>
            </w:pPr>
            <w:r/>
            <w:r>
              <w:rPr>
                <w:rFonts w:ascii="Calibri" w:hAnsi="Calibri"/>
                <w:b w:val="0"/>
                <w:color w:val="020817"/>
                <w:sz w:val="19"/>
              </w:rPr>
              <w:t>It is the moat, filmed. No competitor in the EU-undergraduate lane does on-screen worked problems in this voice.</w:t>
            </w:r>
          </w:p>
        </w:tc>
      </w:tr>
      <w:tr>
        <w:tc>
          <w:tcPr>
            <w:tcW w:type="dxa" w:w="2016"/>
            <w:shd w:val="clear" w:color="auto" w:fill="F1F5F9"/>
          </w:tcPr>
          <w:p>
            <w:pPr>
              <w:spacing w:after="40" w:before="40"/>
            </w:pPr>
            <w:r/>
            <w:r>
              <w:rPr>
                <w:rFonts w:ascii="Calibri" w:hAnsi="Calibri"/>
                <w:b w:val="0"/>
                <w:color w:val="020817"/>
                <w:sz w:val="19"/>
              </w:rPr>
              <w:t>Example</w:t>
            </w:r>
          </w:p>
        </w:tc>
        <w:tc>
          <w:tcPr>
            <w:tcW w:type="dxa" w:w="7344"/>
            <w:shd w:val="clear" w:color="auto" w:fill="F1F5F9"/>
          </w:tcPr>
          <w:p>
            <w:pPr>
              <w:spacing w:after="40" w:before="40"/>
            </w:pPr>
            <w:r/>
            <w:r>
              <w:rPr>
                <w:rFonts w:ascii="Calibri" w:hAnsi="Calibri"/>
                <w:b w:val="0"/>
                <w:color w:val="020817"/>
                <w:sz w:val="19"/>
              </w:rPr>
              <w:t>"The one consolidation step that costs you the marks" - solved live, not described.</w:t>
            </w:r>
          </w:p>
        </w:tc>
      </w:tr>
      <w:tr>
        <w:tc>
          <w:tcPr>
            <w:tcW w:type="dxa" w:w="2016"/>
          </w:tcPr>
          <w:p>
            <w:pPr>
              <w:spacing w:after="40" w:before="40"/>
            </w:pPr>
            <w:r/>
            <w:r>
              <w:rPr>
                <w:rFonts w:ascii="Calibri" w:hAnsi="Calibri"/>
                <w:b w:val="0"/>
                <w:color w:val="020817"/>
                <w:sz w:val="19"/>
              </w:rPr>
              <w:t>Primary KPI</w:t>
            </w:r>
          </w:p>
        </w:tc>
        <w:tc>
          <w:tcPr>
            <w:tcW w:type="dxa" w:w="7344"/>
          </w:tcPr>
          <w:p>
            <w:pPr>
              <w:spacing w:after="40" w:before="40"/>
            </w:pPr>
            <w:r/>
            <w:r>
              <w:rPr>
                <w:rFonts w:ascii="Calibri" w:hAnsi="Calibri"/>
                <w:b w:val="0"/>
                <w:color w:val="020817"/>
                <w:sz w:val="19"/>
              </w:rPr>
              <w:t>Saves and watch-through on short form; watch time and search impressions on YouTube.</w:t>
            </w:r>
          </w:p>
        </w:tc>
      </w:tr>
    </w:tbl>
    <w:p>
      <w:pPr>
        <w:spacing w:before="180" w:after="80"/>
      </w:pPr>
      <w:r>
        <w:rPr>
          <w:rFonts w:ascii="Calibri" w:hAnsi="Calibri"/>
          <w:b/>
          <w:color w:val="020817"/>
          <w:sz w:val="24"/>
        </w:rPr>
        <w:t>Pillar 2  -  The Concept You Will Be Tested On</w:t>
      </w:r>
    </w:p>
    <w:p>
      <w:pPr>
        <w:spacing w:after="120"/>
      </w:pPr>
      <w:r>
        <w:rPr>
          <w:rFonts w:ascii="Calibri" w:hAnsi="Calibri"/>
          <w:b w:val="0"/>
          <w:i w:val="0"/>
          <w:color w:val="020817"/>
          <w:sz w:val="21"/>
        </w:rPr>
        <w:t>A concept-per-week series reverse-engineered from the autumn exam cycle and front-loaded so each concept already ranks when its exam arrives. October carries the accounting-midterm concepts; December carries the finals concepts.</w:t>
      </w:r>
    </w:p>
    <w:tbl>
      <w:tblPr>
        <w:tblStyle w:val="TableGrid"/>
        <w:tblW w:type="auto" w:w="0"/>
        <w:jc w:val="center"/>
        <w:tblLook w:firstColumn="1" w:firstRow="1" w:lastColumn="0" w:lastRow="0" w:noHBand="0" w:noVBand="1" w:val="04A0"/>
      </w:tblPr>
      <w:tblGrid>
        <w:gridCol w:w="4320"/>
        <w:gridCol w:w="4320"/>
      </w:tblGrid>
      <w:tr>
        <w:tc>
          <w:tcPr>
            <w:tcW w:type="dxa" w:w="2016"/>
            <w:shd w:val="clear" w:color="auto" w:fill="467DE3"/>
          </w:tcPr>
          <w:p>
            <w:pPr>
              <w:spacing w:after="40" w:before="40"/>
            </w:pPr>
            <w:r/>
            <w:r>
              <w:rPr>
                <w:rFonts w:ascii="Calibri" w:hAnsi="Calibri"/>
                <w:b/>
                <w:color w:val="FFFFFF"/>
                <w:sz w:val="19"/>
              </w:rPr>
              <w:t>Dimension</w:t>
            </w:r>
          </w:p>
        </w:tc>
        <w:tc>
          <w:tcPr>
            <w:tcW w:type="dxa" w:w="7344"/>
            <w:shd w:val="clear" w:color="auto" w:fill="467DE3"/>
          </w:tcPr>
          <w:p>
            <w:pPr>
              <w:spacing w:after="40" w:before="40"/>
            </w:pPr>
            <w:r/>
            <w:r>
              <w:rPr>
                <w:rFonts w:ascii="Calibri" w:hAnsi="Calibri"/>
                <w:b/>
                <w:color w:val="FFFFFF"/>
                <w:sz w:val="19"/>
              </w:rPr>
              <w:t>Detail</w:t>
            </w:r>
          </w:p>
        </w:tc>
      </w:tr>
      <w:tr>
        <w:tc>
          <w:tcPr>
            <w:tcW w:type="dxa" w:w="2016"/>
          </w:tcPr>
          <w:p>
            <w:pPr>
              <w:spacing w:after="40" w:before="40"/>
            </w:pPr>
            <w:r/>
            <w:r>
              <w:rPr>
                <w:rFonts w:ascii="Calibri" w:hAnsi="Calibri"/>
                <w:b w:val="0"/>
                <w:color w:val="020817"/>
                <w:sz w:val="19"/>
              </w:rPr>
              <w:t>Thesis</w:t>
            </w:r>
          </w:p>
        </w:tc>
        <w:tc>
          <w:tcPr>
            <w:tcW w:type="dxa" w:w="7344"/>
          </w:tcPr>
          <w:p>
            <w:pPr>
              <w:spacing w:after="40" w:before="40"/>
            </w:pPr>
            <w:r/>
            <w:r>
              <w:rPr>
                <w:rFonts w:ascii="Calibri" w:hAnsi="Calibri"/>
                <w:b w:val="0"/>
                <w:color w:val="020817"/>
                <w:sz w:val="19"/>
              </w:rPr>
              <w:t>Be the top result for the concept at the moment the student searches it.</w:t>
            </w:r>
          </w:p>
        </w:tc>
      </w:tr>
      <w:tr>
        <w:tc>
          <w:tcPr>
            <w:tcW w:type="dxa" w:w="2016"/>
            <w:shd w:val="clear" w:color="auto" w:fill="F1F5F9"/>
          </w:tcPr>
          <w:p>
            <w:pPr>
              <w:spacing w:after="40" w:before="40"/>
            </w:pPr>
            <w:r/>
            <w:r>
              <w:rPr>
                <w:rFonts w:ascii="Calibri" w:hAnsi="Calibri"/>
                <w:b w:val="0"/>
                <w:color w:val="020817"/>
                <w:sz w:val="19"/>
              </w:rPr>
              <w:t>Native format</w:t>
            </w:r>
          </w:p>
        </w:tc>
        <w:tc>
          <w:tcPr>
            <w:tcW w:type="dxa" w:w="7344"/>
            <w:shd w:val="clear" w:color="auto" w:fill="F1F5F9"/>
          </w:tcPr>
          <w:p>
            <w:pPr>
              <w:spacing w:after="40" w:before="40"/>
            </w:pPr>
            <w:r/>
            <w:r>
              <w:rPr>
                <w:rFonts w:ascii="Calibri" w:hAnsi="Calibri"/>
                <w:b w:val="0"/>
                <w:color w:val="020817"/>
                <w:sz w:val="19"/>
              </w:rPr>
              <w:t>Short concept explainer plus a one-page reference; the explainer points to the Pillar 1 worked example.</w:t>
            </w:r>
          </w:p>
        </w:tc>
      </w:tr>
      <w:tr>
        <w:tc>
          <w:tcPr>
            <w:tcW w:type="dxa" w:w="2016"/>
          </w:tcPr>
          <w:p>
            <w:pPr>
              <w:spacing w:after="40" w:before="40"/>
            </w:pPr>
            <w:r/>
            <w:r>
              <w:rPr>
                <w:rFonts w:ascii="Calibri" w:hAnsi="Calibri"/>
                <w:b w:val="0"/>
                <w:color w:val="020817"/>
                <w:sz w:val="19"/>
              </w:rPr>
              <w:t>Why it wins</w:t>
            </w:r>
          </w:p>
        </w:tc>
        <w:tc>
          <w:tcPr>
            <w:tcW w:type="dxa" w:w="7344"/>
          </w:tcPr>
          <w:p>
            <w:pPr>
              <w:spacing w:after="40" w:before="40"/>
            </w:pPr>
            <w:r/>
            <w:r>
              <w:rPr>
                <w:rFonts w:ascii="Calibri" w:hAnsi="Calibri"/>
                <w:b w:val="0"/>
                <w:color w:val="020817"/>
                <w:sz w:val="19"/>
              </w:rPr>
              <w:t>Demand is violently seasonal and ranking has lag. This is the mechanism that converts the season into pipeline.</w:t>
            </w:r>
          </w:p>
        </w:tc>
      </w:tr>
      <w:tr>
        <w:tc>
          <w:tcPr>
            <w:tcW w:type="dxa" w:w="2016"/>
            <w:shd w:val="clear" w:color="auto" w:fill="F1F5F9"/>
          </w:tcPr>
          <w:p>
            <w:pPr>
              <w:spacing w:after="40" w:before="40"/>
            </w:pPr>
            <w:r/>
            <w:r>
              <w:rPr>
                <w:rFonts w:ascii="Calibri" w:hAnsi="Calibri"/>
                <w:b w:val="0"/>
                <w:color w:val="020817"/>
                <w:sz w:val="19"/>
              </w:rPr>
              <w:t>Example</w:t>
            </w:r>
          </w:p>
        </w:tc>
        <w:tc>
          <w:tcPr>
            <w:tcW w:type="dxa" w:w="7344"/>
            <w:shd w:val="clear" w:color="auto" w:fill="F1F5F9"/>
          </w:tcPr>
          <w:p>
            <w:pPr>
              <w:spacing w:after="40" w:before="40"/>
            </w:pPr>
            <w:r/>
            <w:r>
              <w:rPr>
                <w:rFonts w:ascii="Calibri" w:hAnsi="Calibri"/>
                <w:b w:val="0"/>
                <w:color w:val="020817"/>
                <w:sz w:val="19"/>
              </w:rPr>
              <w:t>Cash-flow statement, T-accounts, accruals vs deferrals, consolidation, deferred tax, CVP break-even.</w:t>
            </w:r>
          </w:p>
        </w:tc>
      </w:tr>
      <w:tr>
        <w:tc>
          <w:tcPr>
            <w:tcW w:type="dxa" w:w="2016"/>
          </w:tcPr>
          <w:p>
            <w:pPr>
              <w:spacing w:after="40" w:before="40"/>
            </w:pPr>
            <w:r/>
            <w:r>
              <w:rPr>
                <w:rFonts w:ascii="Calibri" w:hAnsi="Calibri"/>
                <w:b w:val="0"/>
                <w:color w:val="020817"/>
                <w:sz w:val="19"/>
              </w:rPr>
              <w:t>Primary KPI</w:t>
            </w:r>
          </w:p>
        </w:tc>
        <w:tc>
          <w:tcPr>
            <w:tcW w:type="dxa" w:w="7344"/>
          </w:tcPr>
          <w:p>
            <w:pPr>
              <w:spacing w:after="40" w:before="40"/>
            </w:pPr>
            <w:r/>
            <w:r>
              <w:rPr>
                <w:rFonts w:ascii="Calibri" w:hAnsi="Calibri"/>
                <w:b w:val="0"/>
                <w:color w:val="020817"/>
                <w:sz w:val="19"/>
              </w:rPr>
              <w:t>Search impressions and ranking on named-concept queries; click-through to the offer.</w:t>
            </w:r>
          </w:p>
        </w:tc>
      </w:tr>
    </w:tbl>
    <w:p>
      <w:pPr>
        <w:spacing w:before="180" w:after="80"/>
      </w:pPr>
      <w:r>
        <w:rPr>
          <w:rFonts w:ascii="Calibri" w:hAnsi="Calibri"/>
          <w:b/>
          <w:color w:val="020817"/>
          <w:sz w:val="24"/>
        </w:rPr>
        <w:t>Pillar 3  -  What AI Gets Wrong</w:t>
      </w:r>
    </w:p>
    <w:p>
      <w:pPr>
        <w:spacing w:after="120"/>
      </w:pPr>
      <w:r>
        <w:rPr>
          <w:rFonts w:ascii="Calibri" w:hAnsi="Calibri"/>
          <w:b w:val="0"/>
          <w:i w:val="0"/>
          <w:color w:val="020817"/>
          <w:sz w:val="21"/>
        </w:rPr>
        <w:t>A recurring series that takes a concept where ChatGPT confidently misleads, shows the wrong answer, then the correct reasoning, and closes on why someone watching you try is the thing AI cannot replace.</w:t>
      </w:r>
    </w:p>
    <w:tbl>
      <w:tblPr>
        <w:tblStyle w:val="TableGrid"/>
        <w:tblW w:type="auto" w:w="0"/>
        <w:jc w:val="center"/>
        <w:tblLook w:firstColumn="1" w:firstRow="1" w:lastColumn="0" w:lastRow="0" w:noHBand="0" w:noVBand="1" w:val="04A0"/>
      </w:tblPr>
      <w:tblGrid>
        <w:gridCol w:w="4320"/>
        <w:gridCol w:w="4320"/>
      </w:tblGrid>
      <w:tr>
        <w:tc>
          <w:tcPr>
            <w:tcW w:type="dxa" w:w="2016"/>
            <w:shd w:val="clear" w:color="auto" w:fill="467DE3"/>
          </w:tcPr>
          <w:p>
            <w:pPr>
              <w:spacing w:after="40" w:before="40"/>
            </w:pPr>
            <w:r/>
            <w:r>
              <w:rPr>
                <w:rFonts w:ascii="Calibri" w:hAnsi="Calibri"/>
                <w:b/>
                <w:color w:val="FFFFFF"/>
                <w:sz w:val="19"/>
              </w:rPr>
              <w:t>Dimension</w:t>
            </w:r>
          </w:p>
        </w:tc>
        <w:tc>
          <w:tcPr>
            <w:tcW w:type="dxa" w:w="7344"/>
            <w:shd w:val="clear" w:color="auto" w:fill="467DE3"/>
          </w:tcPr>
          <w:p>
            <w:pPr>
              <w:spacing w:after="40" w:before="40"/>
            </w:pPr>
            <w:r/>
            <w:r>
              <w:rPr>
                <w:rFonts w:ascii="Calibri" w:hAnsi="Calibri"/>
                <w:b/>
                <w:color w:val="FFFFFF"/>
                <w:sz w:val="19"/>
              </w:rPr>
              <w:t>Detail</w:t>
            </w:r>
          </w:p>
        </w:tc>
      </w:tr>
      <w:tr>
        <w:tc>
          <w:tcPr>
            <w:tcW w:type="dxa" w:w="2016"/>
          </w:tcPr>
          <w:p>
            <w:pPr>
              <w:spacing w:after="40" w:before="40"/>
            </w:pPr>
            <w:r/>
            <w:r>
              <w:rPr>
                <w:rFonts w:ascii="Calibri" w:hAnsi="Calibri"/>
                <w:b w:val="0"/>
                <w:color w:val="020817"/>
                <w:sz w:val="19"/>
              </w:rPr>
              <w:t>Thesis</w:t>
            </w:r>
          </w:p>
        </w:tc>
        <w:tc>
          <w:tcPr>
            <w:tcW w:type="dxa" w:w="7344"/>
          </w:tcPr>
          <w:p>
            <w:pPr>
              <w:spacing w:after="40" w:before="40"/>
            </w:pPr>
            <w:r/>
            <w:r>
              <w:rPr>
                <w:rFonts w:ascii="Calibri" w:hAnsi="Calibri"/>
                <w:b w:val="0"/>
                <w:color w:val="020817"/>
                <w:sz w:val="19"/>
              </w:rPr>
              <w:t>Reframe the student's default tool (ChatGPT) into the reason to buy.</w:t>
            </w:r>
          </w:p>
        </w:tc>
      </w:tr>
      <w:tr>
        <w:tc>
          <w:tcPr>
            <w:tcW w:type="dxa" w:w="2016"/>
            <w:shd w:val="clear" w:color="auto" w:fill="F1F5F9"/>
          </w:tcPr>
          <w:p>
            <w:pPr>
              <w:spacing w:after="40" w:before="40"/>
            </w:pPr>
            <w:r/>
            <w:r>
              <w:rPr>
                <w:rFonts w:ascii="Calibri" w:hAnsi="Calibri"/>
                <w:b w:val="0"/>
                <w:color w:val="020817"/>
                <w:sz w:val="19"/>
              </w:rPr>
              <w:t>Native format</w:t>
            </w:r>
          </w:p>
        </w:tc>
        <w:tc>
          <w:tcPr>
            <w:tcW w:type="dxa" w:w="7344"/>
            <w:shd w:val="clear" w:color="auto" w:fill="F1F5F9"/>
          </w:tcPr>
          <w:p>
            <w:pPr>
              <w:spacing w:after="40" w:before="40"/>
            </w:pPr>
            <w:r/>
            <w:r>
              <w:rPr>
                <w:rFonts w:ascii="Calibri" w:hAnsi="Calibri"/>
                <w:b w:val="0"/>
                <w:color w:val="020817"/>
                <w:sz w:val="19"/>
              </w:rPr>
              <w:t>Short, punchy: the AI answer on screen, the error circled, the fix, the takeaway.</w:t>
            </w:r>
          </w:p>
        </w:tc>
      </w:tr>
      <w:tr>
        <w:tc>
          <w:tcPr>
            <w:tcW w:type="dxa" w:w="2016"/>
          </w:tcPr>
          <w:p>
            <w:pPr>
              <w:spacing w:after="40" w:before="40"/>
            </w:pPr>
            <w:r/>
            <w:r>
              <w:rPr>
                <w:rFonts w:ascii="Calibri" w:hAnsi="Calibri"/>
                <w:b w:val="0"/>
                <w:color w:val="020817"/>
                <w:sz w:val="19"/>
              </w:rPr>
              <w:t>Why it wins</w:t>
            </w:r>
          </w:p>
        </w:tc>
        <w:tc>
          <w:tcPr>
            <w:tcW w:type="dxa" w:w="7344"/>
          </w:tcPr>
          <w:p>
            <w:pPr>
              <w:spacing w:after="40" w:before="40"/>
            </w:pPr>
            <w:r/>
            <w:r>
              <w:rPr>
                <w:rFonts w:ascii="Calibri" w:hAnsi="Calibri"/>
                <w:b w:val="0"/>
                <w:color w:val="020817"/>
                <w:sz w:val="19"/>
              </w:rPr>
              <w:t>AI is top of mind, accounting is where AI is measurably weak, and few finance creators run this angle credibly.</w:t>
            </w:r>
          </w:p>
        </w:tc>
      </w:tr>
      <w:tr>
        <w:tc>
          <w:tcPr>
            <w:tcW w:type="dxa" w:w="2016"/>
            <w:shd w:val="clear" w:color="auto" w:fill="F1F5F9"/>
          </w:tcPr>
          <w:p>
            <w:pPr>
              <w:spacing w:after="40" w:before="40"/>
            </w:pPr>
            <w:r/>
            <w:r>
              <w:rPr>
                <w:rFonts w:ascii="Calibri" w:hAnsi="Calibri"/>
                <w:b w:val="0"/>
                <w:color w:val="020817"/>
                <w:sz w:val="19"/>
              </w:rPr>
              <w:t>Example</w:t>
            </w:r>
          </w:p>
        </w:tc>
        <w:tc>
          <w:tcPr>
            <w:tcW w:type="dxa" w:w="7344"/>
            <w:shd w:val="clear" w:color="auto" w:fill="F1F5F9"/>
          </w:tcPr>
          <w:p>
            <w:pPr>
              <w:spacing w:after="40" w:before="40"/>
            </w:pPr>
            <w:r/>
            <w:r>
              <w:rPr>
                <w:rFonts w:ascii="Calibri" w:hAnsi="Calibri"/>
                <w:b w:val="0"/>
                <w:color w:val="020817"/>
                <w:sz w:val="19"/>
              </w:rPr>
              <w:t>"ChatGPT got this deferred-tax question wrong. Here is why, and why it matters in the exam."</w:t>
            </w:r>
          </w:p>
        </w:tc>
      </w:tr>
      <w:tr>
        <w:tc>
          <w:tcPr>
            <w:tcW w:type="dxa" w:w="2016"/>
          </w:tcPr>
          <w:p>
            <w:pPr>
              <w:spacing w:after="40" w:before="40"/>
            </w:pPr>
            <w:r/>
            <w:r>
              <w:rPr>
                <w:rFonts w:ascii="Calibri" w:hAnsi="Calibri"/>
                <w:b w:val="0"/>
                <w:color w:val="020817"/>
                <w:sz w:val="19"/>
              </w:rPr>
              <w:t>Primary KPI</w:t>
            </w:r>
          </w:p>
        </w:tc>
        <w:tc>
          <w:tcPr>
            <w:tcW w:type="dxa" w:w="7344"/>
          </w:tcPr>
          <w:p>
            <w:pPr>
              <w:spacing w:after="40" w:before="40"/>
            </w:pPr>
            <w:r/>
            <w:r>
              <w:rPr>
                <w:rFonts w:ascii="Calibri" w:hAnsi="Calibri"/>
                <w:b w:val="0"/>
                <w:color w:val="020817"/>
                <w:sz w:val="19"/>
              </w:rPr>
              <w:t>Shares and comments (debate-driving); branded-search lift over time.</w:t>
            </w:r>
          </w:p>
        </w:tc>
      </w:tr>
    </w:tbl>
    <w:p>
      <w:pPr>
        <w:spacing w:before="280" w:after="80"/>
        <w:pBdr>
          <w:bottom w:val="single" w:sz="6" w:space="2" w:color="467DE3"/>
        </w:pBdr>
      </w:pPr>
      <w:r>
        <w:rPr>
          <w:rFonts w:ascii="Calibri" w:hAnsi="Calibri"/>
          <w:b/>
          <w:color w:val="467DE3"/>
          <w:sz w:val="30"/>
        </w:rPr>
        <w:t>6.  Channel strategy</w:t>
      </w:r>
    </w:p>
    <w:p>
      <w:pPr>
        <w:spacing w:after="120"/>
      </w:pPr>
      <w:r>
        <w:rPr>
          <w:rFonts w:ascii="Calibri" w:hAnsi="Calibri"/>
          <w:b w:val="0"/>
          <w:i w:val="0"/>
          <w:color w:val="020817"/>
          <w:sz w:val="21"/>
        </w:rPr>
        <w:t>Lead on YouTube, net with short form, support with communities and owned channels. The brand voice fits YouTube far better than TikTok hype culture, and YouTube captures the high-intent moment when Sofia is stuck and searching.</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467DE3"/>
          </w:tcPr>
          <w:p>
            <w:pPr>
              <w:spacing w:after="40" w:before="40"/>
            </w:pPr>
            <w:r/>
            <w:r>
              <w:rPr>
                <w:rFonts w:ascii="Calibri" w:hAnsi="Calibri"/>
                <w:b/>
                <w:color w:val="FFFFFF"/>
                <w:sz w:val="19"/>
              </w:rPr>
              <w:t>Channel</w:t>
            </w:r>
          </w:p>
        </w:tc>
        <w:tc>
          <w:tcPr>
            <w:tcW w:type="dxa" w:w="2016"/>
            <w:shd w:val="clear" w:color="auto" w:fill="467DE3"/>
          </w:tcPr>
          <w:p>
            <w:pPr>
              <w:spacing w:after="40" w:before="40"/>
            </w:pPr>
            <w:r/>
            <w:r>
              <w:rPr>
                <w:rFonts w:ascii="Calibri" w:hAnsi="Calibri"/>
                <w:b/>
                <w:color w:val="FFFFFF"/>
                <w:sz w:val="19"/>
              </w:rPr>
              <w:t>Role</w:t>
            </w:r>
          </w:p>
        </w:tc>
        <w:tc>
          <w:tcPr>
            <w:tcW w:type="dxa" w:w="5184"/>
            <w:shd w:val="clear" w:color="auto" w:fill="467DE3"/>
          </w:tcPr>
          <w:p>
            <w:pPr>
              <w:spacing w:after="40" w:before="40"/>
            </w:pPr>
            <w:r/>
            <w:r>
              <w:rPr>
                <w:rFonts w:ascii="Calibri" w:hAnsi="Calibri"/>
                <w:b/>
                <w:color w:val="FFFFFF"/>
                <w:sz w:val="19"/>
              </w:rPr>
              <w:t>Why</w:t>
            </w:r>
          </w:p>
        </w:tc>
      </w:tr>
      <w:tr>
        <w:tc>
          <w:tcPr>
            <w:tcW w:type="dxa" w:w="2160"/>
          </w:tcPr>
          <w:p>
            <w:pPr>
              <w:spacing w:after="40" w:before="40"/>
            </w:pPr>
            <w:r/>
            <w:r>
              <w:rPr>
                <w:rFonts w:ascii="Calibri" w:hAnsi="Calibri"/>
                <w:b w:val="0"/>
                <w:color w:val="020817"/>
                <w:sz w:val="19"/>
              </w:rPr>
              <w:t>YouTube</w:t>
            </w:r>
          </w:p>
        </w:tc>
        <w:tc>
          <w:tcPr>
            <w:tcW w:type="dxa" w:w="2016"/>
          </w:tcPr>
          <w:p>
            <w:pPr>
              <w:spacing w:after="40" w:before="40"/>
            </w:pPr>
            <w:r/>
            <w:r>
              <w:rPr>
                <w:rFonts w:ascii="Calibri" w:hAnsi="Calibri"/>
                <w:b w:val="0"/>
                <w:color w:val="020817"/>
                <w:sz w:val="19"/>
              </w:rPr>
              <w:t>Spine (primary)</w:t>
            </w:r>
          </w:p>
        </w:tc>
        <w:tc>
          <w:tcPr>
            <w:tcW w:type="dxa" w:w="5184"/>
          </w:tcPr>
          <w:p>
            <w:pPr>
              <w:spacing w:after="40" w:before="40"/>
            </w:pPr>
            <w:r/>
            <w:r>
              <w:rPr>
                <w:rFonts w:ascii="Calibri" w:hAnsi="Calibri"/>
                <w:b w:val="0"/>
                <w:color w:val="020817"/>
                <w:sz w:val="19"/>
              </w:rPr>
              <w:t>Search intent plus evergreen ranking plus a calm, longer voice. Captures the moment of need.</w:t>
            </w:r>
          </w:p>
        </w:tc>
      </w:tr>
      <w:tr>
        <w:tc>
          <w:tcPr>
            <w:tcW w:type="dxa" w:w="2160"/>
            <w:shd w:val="clear" w:color="auto" w:fill="F1F5F9"/>
          </w:tcPr>
          <w:p>
            <w:pPr>
              <w:spacing w:after="40" w:before="40"/>
            </w:pPr>
            <w:r/>
            <w:r>
              <w:rPr>
                <w:rFonts w:ascii="Calibri" w:hAnsi="Calibri"/>
                <w:b w:val="0"/>
                <w:color w:val="020817"/>
                <w:sz w:val="19"/>
              </w:rPr>
              <w:t>TikTok</w:t>
            </w:r>
          </w:p>
        </w:tc>
        <w:tc>
          <w:tcPr>
            <w:tcW w:type="dxa" w:w="2016"/>
            <w:shd w:val="clear" w:color="auto" w:fill="F1F5F9"/>
          </w:tcPr>
          <w:p>
            <w:pPr>
              <w:spacing w:after="40" w:before="40"/>
            </w:pPr>
            <w:r/>
            <w:r>
              <w:rPr>
                <w:rFonts w:ascii="Calibri" w:hAnsi="Calibri"/>
                <w:b w:val="0"/>
                <w:color w:val="020817"/>
                <w:sz w:val="19"/>
              </w:rPr>
              <w:t>Net (discovery)</w:t>
            </w:r>
          </w:p>
        </w:tc>
        <w:tc>
          <w:tcPr>
            <w:tcW w:type="dxa" w:w="5184"/>
            <w:shd w:val="clear" w:color="auto" w:fill="F1F5F9"/>
          </w:tcPr>
          <w:p>
            <w:pPr>
              <w:spacing w:after="40" w:before="40"/>
            </w:pPr>
            <w:r/>
            <w:r>
              <w:rPr>
                <w:rFonts w:ascii="Calibri" w:hAnsi="Calibri"/>
                <w:b w:val="0"/>
                <w:color w:val="020817"/>
                <w:sz w:val="19"/>
              </w:rPr>
              <w:t>Reaches Sofia before she searches. Saves are the currency. TikTok now rewards search-optimised teaching.</w:t>
            </w:r>
          </w:p>
        </w:tc>
      </w:tr>
      <w:tr>
        <w:tc>
          <w:tcPr>
            <w:tcW w:type="dxa" w:w="2160"/>
          </w:tcPr>
          <w:p>
            <w:pPr>
              <w:spacing w:after="40" w:before="40"/>
            </w:pPr>
            <w:r/>
            <w:r>
              <w:rPr>
                <w:rFonts w:ascii="Calibri" w:hAnsi="Calibri"/>
                <w:b w:val="0"/>
                <w:color w:val="020817"/>
                <w:sz w:val="19"/>
              </w:rPr>
              <w:t>Instagram Reels</w:t>
            </w:r>
          </w:p>
        </w:tc>
        <w:tc>
          <w:tcPr>
            <w:tcW w:type="dxa" w:w="2016"/>
          </w:tcPr>
          <w:p>
            <w:pPr>
              <w:spacing w:after="40" w:before="40"/>
            </w:pPr>
            <w:r/>
            <w:r>
              <w:rPr>
                <w:rFonts w:ascii="Calibri" w:hAnsi="Calibri"/>
                <w:b w:val="0"/>
                <w:color w:val="020817"/>
                <w:sz w:val="19"/>
              </w:rPr>
              <w:t>Repurpose</w:t>
            </w:r>
          </w:p>
        </w:tc>
        <w:tc>
          <w:tcPr>
            <w:tcW w:type="dxa" w:w="5184"/>
          </w:tcPr>
          <w:p>
            <w:pPr>
              <w:spacing w:after="40" w:before="40"/>
            </w:pPr>
            <w:r/>
            <w:r>
              <w:rPr>
                <w:rFonts w:ascii="Calibri" w:hAnsi="Calibri"/>
                <w:b w:val="0"/>
                <w:color w:val="020817"/>
                <w:sz w:val="19"/>
              </w:rPr>
              <w:t>Shares to study groups (sends per reach). Treat as a repurpose target; it no longer reports hashtag size.</w:t>
            </w:r>
          </w:p>
        </w:tc>
      </w:tr>
      <w:tr>
        <w:tc>
          <w:tcPr>
            <w:tcW w:type="dxa" w:w="2160"/>
            <w:shd w:val="clear" w:color="auto" w:fill="F1F5F9"/>
          </w:tcPr>
          <w:p>
            <w:pPr>
              <w:spacing w:after="40" w:before="40"/>
            </w:pPr>
            <w:r/>
            <w:r>
              <w:rPr>
                <w:rFonts w:ascii="Calibri" w:hAnsi="Calibri"/>
                <w:b w:val="0"/>
                <w:color w:val="020817"/>
                <w:sz w:val="19"/>
              </w:rPr>
              <w:t>Reddit / Discord</w:t>
            </w:r>
          </w:p>
        </w:tc>
        <w:tc>
          <w:tcPr>
            <w:tcW w:type="dxa" w:w="2016"/>
            <w:shd w:val="clear" w:color="auto" w:fill="F1F5F9"/>
          </w:tcPr>
          <w:p>
            <w:pPr>
              <w:spacing w:after="40" w:before="40"/>
            </w:pPr>
            <w:r/>
            <w:r>
              <w:rPr>
                <w:rFonts w:ascii="Calibri" w:hAnsi="Calibri"/>
                <w:b w:val="0"/>
                <w:color w:val="020817"/>
                <w:sz w:val="19"/>
              </w:rPr>
              <w:t>Helpfulness</w:t>
            </w:r>
          </w:p>
        </w:tc>
        <w:tc>
          <w:tcPr>
            <w:tcW w:type="dxa" w:w="5184"/>
            <w:shd w:val="clear" w:color="auto" w:fill="F1F5F9"/>
          </w:tcPr>
          <w:p>
            <w:pPr>
              <w:spacing w:after="40" w:before="40"/>
            </w:pPr>
            <w:r/>
            <w:r>
              <w:rPr>
                <w:rFonts w:ascii="Calibri" w:hAnsi="Calibri"/>
                <w:b w:val="0"/>
                <w:color w:val="020817"/>
                <w:sz w:val="19"/>
              </w:rPr>
              <w:t>Course-specific communities where intent is explicit and reach is not algorithm-gated. Answer, do not sell.</w:t>
            </w:r>
          </w:p>
        </w:tc>
      </w:tr>
      <w:tr>
        <w:tc>
          <w:tcPr>
            <w:tcW w:type="dxa" w:w="2160"/>
          </w:tcPr>
          <w:p>
            <w:pPr>
              <w:spacing w:after="40" w:before="40"/>
            </w:pPr>
            <w:r/>
            <w:r>
              <w:rPr>
                <w:rFonts w:ascii="Calibri" w:hAnsi="Calibri"/>
                <w:b w:val="0"/>
                <w:color w:val="020817"/>
                <w:sz w:val="19"/>
              </w:rPr>
              <w:t>Blog / email (owned)</w:t>
            </w:r>
          </w:p>
        </w:tc>
        <w:tc>
          <w:tcPr>
            <w:tcW w:type="dxa" w:w="2016"/>
          </w:tcPr>
          <w:p>
            <w:pPr>
              <w:spacing w:after="40" w:before="40"/>
            </w:pPr>
            <w:r/>
            <w:r>
              <w:rPr>
                <w:rFonts w:ascii="Calibri" w:hAnsi="Calibri"/>
                <w:b w:val="0"/>
                <w:color w:val="020817"/>
                <w:sz w:val="19"/>
              </w:rPr>
              <w:t>Capture and hold</w:t>
            </w:r>
          </w:p>
        </w:tc>
        <w:tc>
          <w:tcPr>
            <w:tcW w:type="dxa" w:w="5184"/>
          </w:tcPr>
          <w:p>
            <w:pPr>
              <w:spacing w:after="40" w:before="40"/>
            </w:pPr>
            <w:r/>
            <w:r>
              <w:rPr>
                <w:rFonts w:ascii="Calibri" w:hAnsi="Calibri"/>
                <w:b w:val="0"/>
                <w:color w:val="020817"/>
                <w:sz w:val="19"/>
              </w:rPr>
              <w:t>SEO concept articles and a list we own, not rented from an algorithm. Reinforces the seasonal push.</w:t>
            </w:r>
          </w:p>
        </w:tc>
      </w:tr>
      <w:tr>
        <w:tc>
          <w:tcPr>
            <w:tcW w:type="dxa" w:w="2160"/>
            <w:shd w:val="clear" w:color="auto" w:fill="F1F5F9"/>
          </w:tcPr>
          <w:p>
            <w:pPr>
              <w:spacing w:after="40" w:before="40"/>
            </w:pPr>
            <w:r/>
            <w:r>
              <w:rPr>
                <w:rFonts w:ascii="Calibri" w:hAnsi="Calibri"/>
                <w:b w:val="0"/>
                <w:color w:val="020817"/>
                <w:sz w:val="19"/>
              </w:rPr>
              <w:t>LinkedIn</w:t>
            </w:r>
          </w:p>
        </w:tc>
        <w:tc>
          <w:tcPr>
            <w:tcW w:type="dxa" w:w="2016"/>
            <w:shd w:val="clear" w:color="auto" w:fill="F1F5F9"/>
          </w:tcPr>
          <w:p>
            <w:pPr>
              <w:spacing w:after="40" w:before="40"/>
            </w:pPr>
            <w:r/>
            <w:r>
              <w:rPr>
                <w:rFonts w:ascii="Calibri" w:hAnsi="Calibri"/>
                <w:b w:val="0"/>
                <w:color w:val="020817"/>
                <w:sz w:val="19"/>
              </w:rPr>
              <w:t>Defer</w:t>
            </w:r>
          </w:p>
        </w:tc>
        <w:tc>
          <w:tcPr>
            <w:tcW w:type="dxa" w:w="5184"/>
            <w:shd w:val="clear" w:color="auto" w:fill="F1F5F9"/>
          </w:tcPr>
          <w:p>
            <w:pPr>
              <w:spacing w:after="40" w:before="40"/>
            </w:pPr>
            <w:r/>
            <w:r>
              <w:rPr>
                <w:rFonts w:ascii="Calibri" w:hAnsi="Calibri"/>
                <w:b w:val="0"/>
                <w:color w:val="020817"/>
                <w:sz w:val="19"/>
              </w:rPr>
              <w:t>Right for the alumni and employer story later, wrong for the anxious-undergraduate persona now.</w:t>
            </w:r>
          </w:p>
        </w:tc>
      </w:tr>
    </w:tbl>
    <w:p>
      <w:pPr>
        <w:spacing w:before="180" w:after="80"/>
      </w:pPr>
      <w:r>
        <w:rPr>
          <w:rFonts w:ascii="Calibri" w:hAnsi="Calibri"/>
          <w:b/>
          <w:color w:val="3669CC"/>
          <w:sz w:val="21"/>
        </w:rPr>
        <w:t>Hashtag stack (TikTok / Reels)</w:t>
      </w:r>
    </w:p>
    <w:p>
      <w:pPr>
        <w:spacing w:after="120"/>
      </w:pPr>
      <w:r>
        <w:rPr>
          <w:rFonts w:ascii="Calibri" w:hAnsi="Calibri"/>
          <w:b w:val="0"/>
          <w:i w:val="0"/>
          <w:color w:val="020817"/>
          <w:sz w:val="20"/>
        </w:rPr>
        <w:t>Stack one tag per tier so a post gets both reach and intent: a big reach tag (study, accounting-student), a topic tag (accounting, business-school), the exact concept tag (financial-accounting plus the named concept), and a search tag (creator-search-insights, learn-on-tiktok). Avoid leaning on the personal-finance and corporate-finance tags for reach: the audience there has the wrong buying intent.</w:t>
      </w:r>
    </w:p>
    <w:p>
      <w:pPr>
        <w:spacing w:before="280" w:after="80"/>
        <w:pBdr>
          <w:bottom w:val="single" w:sz="6" w:space="2" w:color="467DE3"/>
        </w:pBdr>
      </w:pPr>
      <w:r>
        <w:rPr>
          <w:rFonts w:ascii="Calibri" w:hAnsi="Calibri"/>
          <w:b/>
          <w:color w:val="467DE3"/>
          <w:sz w:val="30"/>
        </w:rPr>
        <w:t>7.  The seasonal plan (build now, harvest in the autumn)</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467DE3"/>
          </w:tcPr>
          <w:p>
            <w:pPr>
              <w:spacing w:after="40" w:before="40"/>
            </w:pPr>
            <w:r/>
            <w:r>
              <w:rPr>
                <w:rFonts w:ascii="Calibri" w:hAnsi="Calibri"/>
                <w:b/>
                <w:color w:val="FFFFFF"/>
                <w:sz w:val="19"/>
              </w:rPr>
              <w:t>Window</w:t>
            </w:r>
          </w:p>
        </w:tc>
        <w:tc>
          <w:tcPr>
            <w:tcW w:type="dxa" w:w="2448"/>
            <w:shd w:val="clear" w:color="auto" w:fill="467DE3"/>
          </w:tcPr>
          <w:p>
            <w:pPr>
              <w:spacing w:after="40" w:before="40"/>
            </w:pPr>
            <w:r/>
            <w:r>
              <w:rPr>
                <w:rFonts w:ascii="Calibri" w:hAnsi="Calibri"/>
                <w:b/>
                <w:color w:val="FFFFFF"/>
                <w:sz w:val="19"/>
              </w:rPr>
              <w:t>Student state</w:t>
            </w:r>
          </w:p>
        </w:tc>
        <w:tc>
          <w:tcPr>
            <w:tcW w:type="dxa" w:w="4896"/>
            <w:shd w:val="clear" w:color="auto" w:fill="467DE3"/>
          </w:tcPr>
          <w:p>
            <w:pPr>
              <w:spacing w:after="40" w:before="40"/>
            </w:pPr>
            <w:r/>
            <w:r>
              <w:rPr>
                <w:rFonts w:ascii="Calibri" w:hAnsi="Calibri"/>
                <w:b/>
                <w:color w:val="FFFFFF"/>
                <w:sz w:val="19"/>
              </w:rPr>
              <w:t>Our posture</w:t>
            </w:r>
          </w:p>
        </w:tc>
      </w:tr>
      <w:tr>
        <w:tc>
          <w:tcPr>
            <w:tcW w:type="dxa" w:w="2016"/>
          </w:tcPr>
          <w:p>
            <w:pPr>
              <w:spacing w:after="40" w:before="40"/>
            </w:pPr>
            <w:r/>
            <w:r>
              <w:rPr>
                <w:rFonts w:ascii="Calibri" w:hAnsi="Calibri"/>
                <w:b w:val="0"/>
                <w:color w:val="020817"/>
                <w:sz w:val="19"/>
              </w:rPr>
              <w:t>Jun - Aug</w:t>
            </w:r>
          </w:p>
        </w:tc>
        <w:tc>
          <w:tcPr>
            <w:tcW w:type="dxa" w:w="2448"/>
          </w:tcPr>
          <w:p>
            <w:pPr>
              <w:spacing w:after="40" w:before="40"/>
            </w:pPr>
            <w:r/>
            <w:r>
              <w:rPr>
                <w:rFonts w:ascii="Calibri" w:hAnsi="Calibri"/>
                <w:b w:val="0"/>
                <w:color w:val="020817"/>
                <w:sz w:val="19"/>
              </w:rPr>
              <w:t>Off for summer</w:t>
            </w:r>
          </w:p>
        </w:tc>
        <w:tc>
          <w:tcPr>
            <w:tcW w:type="dxa" w:w="4896"/>
          </w:tcPr>
          <w:p>
            <w:pPr>
              <w:spacing w:after="40" w:before="40"/>
            </w:pPr>
            <w:r/>
            <w:r>
              <w:rPr>
                <w:rFonts w:ascii="Calibri" w:hAnsi="Calibri"/>
                <w:b w:val="0"/>
                <w:color w:val="020817"/>
                <w:sz w:val="19"/>
              </w:rPr>
              <w:t>Build and plant. Film the worked-example library and the concept set. No selling. Goal: a ranked back-catalogue before anyone panics.</w:t>
            </w:r>
          </w:p>
        </w:tc>
      </w:tr>
      <w:tr>
        <w:tc>
          <w:tcPr>
            <w:tcW w:type="dxa" w:w="2016"/>
            <w:shd w:val="clear" w:color="auto" w:fill="F1F5F9"/>
          </w:tcPr>
          <w:p>
            <w:pPr>
              <w:spacing w:after="40" w:before="40"/>
            </w:pPr>
            <w:r/>
            <w:r>
              <w:rPr>
                <w:rFonts w:ascii="Calibri" w:hAnsi="Calibri"/>
                <w:b w:val="0"/>
                <w:color w:val="020817"/>
                <w:sz w:val="19"/>
              </w:rPr>
              <w:t>September</w:t>
            </w:r>
          </w:p>
        </w:tc>
        <w:tc>
          <w:tcPr>
            <w:tcW w:type="dxa" w:w="2448"/>
            <w:shd w:val="clear" w:color="auto" w:fill="F1F5F9"/>
          </w:tcPr>
          <w:p>
            <w:pPr>
              <w:spacing w:after="40" w:before="40"/>
            </w:pPr>
            <w:r/>
            <w:r>
              <w:rPr>
                <w:rFonts w:ascii="Calibri" w:hAnsi="Calibri"/>
                <w:b w:val="0"/>
                <w:color w:val="020817"/>
                <w:sz w:val="19"/>
              </w:rPr>
              <w:t>New syllabi, low panic</w:t>
            </w:r>
          </w:p>
        </w:tc>
        <w:tc>
          <w:tcPr>
            <w:tcW w:type="dxa" w:w="4896"/>
            <w:shd w:val="clear" w:color="auto" w:fill="F1F5F9"/>
          </w:tcPr>
          <w:p>
            <w:pPr>
              <w:spacing w:after="40" w:before="40"/>
            </w:pPr>
            <w:r/>
            <w:r>
              <w:rPr>
                <w:rFonts w:ascii="Calibri" w:hAnsi="Calibri"/>
                <w:b w:val="0"/>
                <w:color w:val="020817"/>
                <w:sz w:val="19"/>
              </w:rPr>
              <w:t>Awareness. Introduce the concept series gently. Establish the calm voice.</w:t>
            </w:r>
          </w:p>
        </w:tc>
      </w:tr>
      <w:tr>
        <w:tc>
          <w:tcPr>
            <w:tcW w:type="dxa" w:w="2016"/>
          </w:tcPr>
          <w:p>
            <w:pPr>
              <w:spacing w:after="40" w:before="40"/>
            </w:pPr>
            <w:r/>
            <w:r>
              <w:rPr>
                <w:rFonts w:ascii="Calibri" w:hAnsi="Calibri"/>
                <w:b w:val="0"/>
                <w:color w:val="020817"/>
                <w:sz w:val="19"/>
              </w:rPr>
              <w:t>Mid-Oct - early Nov</w:t>
            </w:r>
          </w:p>
        </w:tc>
        <w:tc>
          <w:tcPr>
            <w:tcW w:type="dxa" w:w="2448"/>
          </w:tcPr>
          <w:p>
            <w:pPr>
              <w:spacing w:after="40" w:before="40"/>
            </w:pPr>
            <w:r/>
            <w:r>
              <w:rPr>
                <w:rFonts w:ascii="Calibri" w:hAnsi="Calibri"/>
                <w:b w:val="0"/>
                <w:color w:val="020817"/>
                <w:sz w:val="19"/>
              </w:rPr>
              <w:t>Midterm spike</w:t>
            </w:r>
          </w:p>
        </w:tc>
        <w:tc>
          <w:tcPr>
            <w:tcW w:type="dxa" w:w="4896"/>
          </w:tcPr>
          <w:p>
            <w:pPr>
              <w:spacing w:after="40" w:before="40"/>
            </w:pPr>
            <w:r/>
            <w:r>
              <w:rPr>
                <w:rFonts w:ascii="Calibri" w:hAnsi="Calibri"/>
                <w:b w:val="0"/>
                <w:color w:val="020817"/>
                <w:sz w:val="19"/>
              </w:rPr>
              <w:t>Harvest. Push accounting-midterm concepts hard. This is the primary conversion window.</w:t>
            </w:r>
          </w:p>
        </w:tc>
      </w:tr>
      <w:tr>
        <w:tc>
          <w:tcPr>
            <w:tcW w:type="dxa" w:w="2016"/>
            <w:shd w:val="clear" w:color="auto" w:fill="F1F5F9"/>
          </w:tcPr>
          <w:p>
            <w:pPr>
              <w:spacing w:after="40" w:before="40"/>
            </w:pPr>
            <w:r/>
            <w:r>
              <w:rPr>
                <w:rFonts w:ascii="Calibri" w:hAnsi="Calibri"/>
                <w:b w:val="0"/>
                <w:color w:val="020817"/>
                <w:sz w:val="19"/>
              </w:rPr>
              <w:t>Nov - mid-Dec</w:t>
            </w:r>
          </w:p>
        </w:tc>
        <w:tc>
          <w:tcPr>
            <w:tcW w:type="dxa" w:w="2448"/>
            <w:shd w:val="clear" w:color="auto" w:fill="F1F5F9"/>
          </w:tcPr>
          <w:p>
            <w:pPr>
              <w:spacing w:after="40" w:before="40"/>
            </w:pPr>
            <w:r/>
            <w:r>
              <w:rPr>
                <w:rFonts w:ascii="Calibri" w:hAnsi="Calibri"/>
                <w:b w:val="0"/>
                <w:color w:val="020817"/>
                <w:sz w:val="19"/>
              </w:rPr>
              <w:t>Finals build then finals</w:t>
            </w:r>
          </w:p>
        </w:tc>
        <w:tc>
          <w:tcPr>
            <w:tcW w:type="dxa" w:w="4896"/>
            <w:shd w:val="clear" w:color="auto" w:fill="F1F5F9"/>
          </w:tcPr>
          <w:p>
            <w:pPr>
              <w:spacing w:after="40" w:before="40"/>
            </w:pPr>
            <w:r/>
            <w:r>
              <w:rPr>
                <w:rFonts w:ascii="Calibri" w:hAnsi="Calibri"/>
                <w:b w:val="0"/>
                <w:color w:val="020817"/>
                <w:sz w:val="19"/>
              </w:rPr>
              <w:t>Bridge to finals concepts, then push through to about 18 December.</w:t>
            </w:r>
          </w:p>
        </w:tc>
      </w:tr>
      <w:tr>
        <w:tc>
          <w:tcPr>
            <w:tcW w:type="dxa" w:w="2016"/>
          </w:tcPr>
          <w:p>
            <w:pPr>
              <w:spacing w:after="40" w:before="40"/>
            </w:pPr>
            <w:r/>
            <w:r>
              <w:rPr>
                <w:rFonts w:ascii="Calibri" w:hAnsi="Calibri"/>
                <w:b w:val="0"/>
                <w:color w:val="020817"/>
                <w:sz w:val="19"/>
              </w:rPr>
              <w:t>Late Dec - early Jan</w:t>
            </w:r>
          </w:p>
        </w:tc>
        <w:tc>
          <w:tcPr>
            <w:tcW w:type="dxa" w:w="2448"/>
          </w:tcPr>
          <w:p>
            <w:pPr>
              <w:spacing w:after="40" w:before="40"/>
            </w:pPr>
            <w:r/>
            <w:r>
              <w:rPr>
                <w:rFonts w:ascii="Calibri" w:hAnsi="Calibri"/>
                <w:b w:val="0"/>
                <w:color w:val="020817"/>
                <w:sz w:val="19"/>
              </w:rPr>
              <w:t>Winter break (dead air)</w:t>
            </w:r>
          </w:p>
        </w:tc>
        <w:tc>
          <w:tcPr>
            <w:tcW w:type="dxa" w:w="4896"/>
          </w:tcPr>
          <w:p>
            <w:pPr>
              <w:spacing w:after="40" w:before="40"/>
            </w:pPr>
            <w:r/>
            <w:r>
              <w:rPr>
                <w:rFonts w:ascii="Calibri" w:hAnsi="Calibri"/>
                <w:b w:val="0"/>
                <w:color w:val="020817"/>
                <w:sz w:val="19"/>
              </w:rPr>
              <w:t>Stop selling. Reflect-and-plan content only.</w:t>
            </w:r>
          </w:p>
        </w:tc>
      </w:tr>
      <w:tr>
        <w:tc>
          <w:tcPr>
            <w:tcW w:type="dxa" w:w="2016"/>
            <w:shd w:val="clear" w:color="auto" w:fill="F1F5F9"/>
          </w:tcPr>
          <w:p>
            <w:pPr>
              <w:spacing w:after="40" w:before="40"/>
            </w:pPr>
            <w:r/>
            <w:r>
              <w:rPr>
                <w:rFonts w:ascii="Calibri" w:hAnsi="Calibri"/>
                <w:b w:val="0"/>
                <w:color w:val="020817"/>
                <w:sz w:val="19"/>
              </w:rPr>
              <w:t>Mid-January</w:t>
            </w:r>
          </w:p>
        </w:tc>
        <w:tc>
          <w:tcPr>
            <w:tcW w:type="dxa" w:w="2448"/>
            <w:shd w:val="clear" w:color="auto" w:fill="F1F5F9"/>
          </w:tcPr>
          <w:p>
            <w:pPr>
              <w:spacing w:after="40" w:before="40"/>
            </w:pPr>
            <w:r/>
            <w:r>
              <w:rPr>
                <w:rFonts w:ascii="Calibri" w:hAnsi="Calibri"/>
                <w:b w:val="0"/>
                <w:color w:val="020817"/>
                <w:sz w:val="19"/>
              </w:rPr>
              <w:t>Spring term starts</w:t>
            </w:r>
          </w:p>
        </w:tc>
        <w:tc>
          <w:tcPr>
            <w:tcW w:type="dxa" w:w="4896"/>
            <w:shd w:val="clear" w:color="auto" w:fill="F1F5F9"/>
          </w:tcPr>
          <w:p>
            <w:pPr>
              <w:spacing w:after="40" w:before="40"/>
            </w:pPr>
            <w:r/>
            <w:r>
              <w:rPr>
                <w:rFonts w:ascii="Calibri" w:hAnsi="Calibri"/>
                <w:b w:val="0"/>
                <w:color w:val="020817"/>
                <w:sz w:val="19"/>
              </w:rPr>
              <w:t>Restart the cycle; the back-catalogue now compounds.</w:t>
            </w:r>
          </w:p>
        </w:tc>
      </w:tr>
    </w:tbl>
    <w:p>
      <w:pPr>
        <w:spacing w:after="120"/>
      </w:pPr>
      <w:r>
        <w:rPr>
          <w:rFonts w:ascii="Calibri" w:hAnsi="Calibri"/>
          <w:b/>
          <w:i w:val="0"/>
          <w:color w:val="3669CC"/>
          <w:sz w:val="21"/>
        </w:rPr>
        <w:t>This is the single most important slide. Reach and ranking take 8-plus weeks to build and three to six months to reach a working following. If we begin in October we miss the autumn entirely and wait a year for the next one.</w:t>
      </w:r>
    </w:p>
    <w:p>
      <w:pPr>
        <w:spacing w:before="280" w:after="80"/>
        <w:pBdr>
          <w:bottom w:val="single" w:sz="6" w:space="2" w:color="467DE3"/>
        </w:pBdr>
      </w:pPr>
      <w:r>
        <w:rPr>
          <w:rFonts w:ascii="Calibri" w:hAnsi="Calibri"/>
          <w:b/>
          <w:color w:val="467DE3"/>
          <w:sz w:val="30"/>
        </w:rPr>
        <w:t>8.  What to film first</w:t>
      </w:r>
    </w:p>
    <w:p>
      <w:pPr>
        <w:spacing w:after="120"/>
      </w:pPr>
      <w:r>
        <w:rPr>
          <w:rFonts w:ascii="Calibri" w:hAnsi="Calibri"/>
          <w:b w:val="0"/>
          <w:i w:val="0"/>
          <w:color w:val="020817"/>
          <w:sz w:val="21"/>
        </w:rPr>
        <w:t>The research on where students struggle most points to a clear flagship set. These are the highest-pain, highest-search concepts and they map directly onto the five launch courses.</w:t>
      </w:r>
    </w:p>
    <w:tbl>
      <w:tblPr>
        <w:tblStyle w:val="TableGrid"/>
        <w:tblW w:type="auto" w:w="0"/>
        <w:jc w:val="center"/>
        <w:tblLook w:firstColumn="1" w:firstRow="1" w:lastColumn="0" w:lastRow="0" w:noHBand="0" w:noVBand="1" w:val="04A0"/>
      </w:tblPr>
      <w:tblGrid>
        <w:gridCol w:w="4320"/>
        <w:gridCol w:w="4320"/>
      </w:tblGrid>
      <w:tr>
        <w:tc>
          <w:tcPr>
            <w:tcW w:type="dxa" w:w="3600"/>
            <w:shd w:val="clear" w:color="auto" w:fill="467DE3"/>
          </w:tcPr>
          <w:p>
            <w:pPr>
              <w:spacing w:after="40" w:before="40"/>
            </w:pPr>
            <w:r/>
            <w:r>
              <w:rPr>
                <w:rFonts w:ascii="Calibri" w:hAnsi="Calibri"/>
                <w:b/>
                <w:color w:val="FFFFFF"/>
                <w:sz w:val="19"/>
              </w:rPr>
              <w:t>Flagship topic</w:t>
            </w:r>
          </w:p>
        </w:tc>
        <w:tc>
          <w:tcPr>
            <w:tcW w:type="dxa" w:w="5760"/>
            <w:shd w:val="clear" w:color="auto" w:fill="467DE3"/>
          </w:tcPr>
          <w:p>
            <w:pPr>
              <w:spacing w:after="40" w:before="40"/>
            </w:pPr>
            <w:r/>
            <w:r>
              <w:rPr>
                <w:rFonts w:ascii="Calibri" w:hAnsi="Calibri"/>
                <w:b/>
                <w:color w:val="FFFFFF"/>
                <w:sz w:val="19"/>
              </w:rPr>
              <w:t>Why it leads</w:t>
            </w:r>
          </w:p>
        </w:tc>
      </w:tr>
      <w:tr>
        <w:tc>
          <w:tcPr>
            <w:tcW w:type="dxa" w:w="3600"/>
          </w:tcPr>
          <w:p>
            <w:pPr>
              <w:spacing w:after="40" w:before="40"/>
            </w:pPr>
            <w:r/>
            <w:r>
              <w:rPr>
                <w:rFonts w:ascii="Calibri" w:hAnsi="Calibri"/>
                <w:b w:val="0"/>
                <w:color w:val="020817"/>
                <w:sz w:val="19"/>
              </w:rPr>
              <w:t>Cash-flow statement (indirect method)</w:t>
            </w:r>
          </w:p>
        </w:tc>
        <w:tc>
          <w:tcPr>
            <w:tcW w:type="dxa" w:w="5760"/>
          </w:tcPr>
          <w:p>
            <w:pPr>
              <w:spacing w:after="40" w:before="40"/>
            </w:pPr>
            <w:r/>
            <w:r>
              <w:rPr>
                <w:rFonts w:ascii="Calibri" w:hAnsi="Calibri"/>
                <w:b w:val="0"/>
                <w:color w:val="020817"/>
                <w:sz w:val="19"/>
              </w:rPr>
              <w:t>Universally taught, universally feared; the classic Year-1 wall.</w:t>
            </w:r>
          </w:p>
        </w:tc>
      </w:tr>
      <w:tr>
        <w:tc>
          <w:tcPr>
            <w:tcW w:type="dxa" w:w="3600"/>
            <w:shd w:val="clear" w:color="auto" w:fill="F1F5F9"/>
          </w:tcPr>
          <w:p>
            <w:pPr>
              <w:spacing w:after="40" w:before="40"/>
            </w:pPr>
            <w:r/>
            <w:r>
              <w:rPr>
                <w:rFonts w:ascii="Calibri" w:hAnsi="Calibri"/>
                <w:b w:val="0"/>
                <w:color w:val="020817"/>
                <w:sz w:val="19"/>
              </w:rPr>
              <w:t>T-accounts and double-entry</w:t>
            </w:r>
          </w:p>
        </w:tc>
        <w:tc>
          <w:tcPr>
            <w:tcW w:type="dxa" w:w="5760"/>
            <w:shd w:val="clear" w:color="auto" w:fill="F1F5F9"/>
          </w:tcPr>
          <w:p>
            <w:pPr>
              <w:spacing w:after="40" w:before="40"/>
            </w:pPr>
            <w:r/>
            <w:r>
              <w:rPr>
                <w:rFonts w:ascii="Calibri" w:hAnsi="Calibri"/>
                <w:b w:val="0"/>
                <w:color w:val="020817"/>
                <w:sz w:val="19"/>
              </w:rPr>
              <w:t>The foundation; high search volume; ideal first worked example.</w:t>
            </w:r>
          </w:p>
        </w:tc>
      </w:tr>
      <w:tr>
        <w:tc>
          <w:tcPr>
            <w:tcW w:type="dxa" w:w="3600"/>
          </w:tcPr>
          <w:p>
            <w:pPr>
              <w:spacing w:after="40" w:before="40"/>
            </w:pPr>
            <w:r/>
            <w:r>
              <w:rPr>
                <w:rFonts w:ascii="Calibri" w:hAnsi="Calibri"/>
                <w:b w:val="0"/>
                <w:color w:val="020817"/>
                <w:sz w:val="19"/>
              </w:rPr>
              <w:t>Consolidation</w:t>
            </w:r>
          </w:p>
        </w:tc>
        <w:tc>
          <w:tcPr>
            <w:tcW w:type="dxa" w:w="5760"/>
          </w:tcPr>
          <w:p>
            <w:pPr>
              <w:spacing w:after="40" w:before="40"/>
            </w:pPr>
            <w:r/>
            <w:r>
              <w:rPr>
                <w:rFonts w:ascii="Calibri" w:hAnsi="Calibri"/>
                <w:b w:val="0"/>
                <w:color w:val="020817"/>
                <w:sz w:val="19"/>
              </w:rPr>
              <w:t>Named repeatedly as one of the hardest topics; little good undergraduate content exists.</w:t>
            </w:r>
          </w:p>
        </w:tc>
      </w:tr>
      <w:tr>
        <w:tc>
          <w:tcPr>
            <w:tcW w:type="dxa" w:w="3600"/>
            <w:shd w:val="clear" w:color="auto" w:fill="F1F5F9"/>
          </w:tcPr>
          <w:p>
            <w:pPr>
              <w:spacing w:after="40" w:before="40"/>
            </w:pPr>
            <w:r/>
            <w:r>
              <w:rPr>
                <w:rFonts w:ascii="Calibri" w:hAnsi="Calibri"/>
                <w:b w:val="0"/>
                <w:color w:val="020817"/>
                <w:sz w:val="19"/>
              </w:rPr>
              <w:t>Deferred tax</w:t>
            </w:r>
          </w:p>
        </w:tc>
        <w:tc>
          <w:tcPr>
            <w:tcW w:type="dxa" w:w="5760"/>
            <w:shd w:val="clear" w:color="auto" w:fill="F1F5F9"/>
          </w:tcPr>
          <w:p>
            <w:pPr>
              <w:spacing w:after="40" w:before="40"/>
            </w:pPr>
            <w:r/>
            <w:r>
              <w:rPr>
                <w:rFonts w:ascii="Calibri" w:hAnsi="Calibri"/>
                <w:b w:val="0"/>
                <w:color w:val="020817"/>
                <w:sz w:val="19"/>
              </w:rPr>
              <w:t>High-difficulty, high-confusion; the natural anchor for the What-AI-Gets-Wrong pillar.</w:t>
            </w:r>
          </w:p>
        </w:tc>
      </w:tr>
      <w:tr>
        <w:tc>
          <w:tcPr>
            <w:tcW w:type="dxa" w:w="3600"/>
          </w:tcPr>
          <w:p>
            <w:pPr>
              <w:spacing w:after="40" w:before="40"/>
            </w:pPr>
            <w:r/>
            <w:r>
              <w:rPr>
                <w:rFonts w:ascii="Calibri" w:hAnsi="Calibri"/>
                <w:b w:val="0"/>
                <w:color w:val="020817"/>
                <w:sz w:val="19"/>
              </w:rPr>
              <w:t>CVP / break-even analysis</w:t>
            </w:r>
          </w:p>
        </w:tc>
        <w:tc>
          <w:tcPr>
            <w:tcW w:type="dxa" w:w="5760"/>
          </w:tcPr>
          <w:p>
            <w:pPr>
              <w:spacing w:after="40" w:before="40"/>
            </w:pPr>
            <w:r/>
            <w:r>
              <w:rPr>
                <w:rFonts w:ascii="Calibri" w:hAnsi="Calibri"/>
                <w:b w:val="0"/>
                <w:color w:val="020817"/>
                <w:sz w:val="19"/>
              </w:rPr>
              <w:t>Management-accounting staple; quick to demonstrate on screen.</w:t>
            </w:r>
          </w:p>
        </w:tc>
      </w:tr>
    </w:tbl>
    <w:p>
      <w:pPr>
        <w:spacing w:before="280" w:after="80"/>
        <w:pBdr>
          <w:bottom w:val="single" w:sz="6" w:space="2" w:color="467DE3"/>
        </w:pBdr>
      </w:pPr>
      <w:r>
        <w:rPr>
          <w:rFonts w:ascii="Calibri" w:hAnsi="Calibri"/>
          <w:b/>
          <w:color w:val="467DE3"/>
          <w:sz w:val="30"/>
        </w:rPr>
        <w:t>9.  Funnel and targets</w:t>
      </w:r>
    </w:p>
    <w:p>
      <w:pPr>
        <w:spacing w:after="120"/>
      </w:pPr>
      <w:r>
        <w:rPr>
          <w:rFonts w:ascii="Calibri" w:hAnsi="Calibri"/>
          <w:b w:val="0"/>
          <w:i w:val="0"/>
          <w:color w:val="020817"/>
          <w:sz w:val="21"/>
        </w:rPr>
        <w:t>The company's own V1 success bar (vision.md) is 15 net-new paying customers within eight weeks of launch, spread across at least three of the five courses, with most completing their session. Marketing's job is to feed that. Working backwards with published benchmarks gives an honest sense of the reach required.</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467DE3"/>
          </w:tcPr>
          <w:p>
            <w:pPr>
              <w:spacing w:after="40" w:before="40"/>
            </w:pPr>
            <w:r/>
            <w:r>
              <w:rPr>
                <w:rFonts w:ascii="Calibri" w:hAnsi="Calibri"/>
                <w:b/>
                <w:color w:val="FFFFFF"/>
                <w:sz w:val="19"/>
              </w:rPr>
              <w:t>Funnel stage</w:t>
            </w:r>
          </w:p>
        </w:tc>
        <w:tc>
          <w:tcPr>
            <w:tcW w:type="dxa" w:w="2736"/>
            <w:shd w:val="clear" w:color="auto" w:fill="467DE3"/>
          </w:tcPr>
          <w:p>
            <w:pPr>
              <w:spacing w:after="40" w:before="40"/>
            </w:pPr>
            <w:r/>
            <w:r>
              <w:rPr>
                <w:rFonts w:ascii="Calibri" w:hAnsi="Calibri"/>
                <w:b/>
                <w:color w:val="FFFFFF"/>
                <w:sz w:val="19"/>
              </w:rPr>
              <w:t>Benchmark</w:t>
            </w:r>
          </w:p>
        </w:tc>
        <w:tc>
          <w:tcPr>
            <w:tcW w:type="dxa" w:w="4176"/>
            <w:shd w:val="clear" w:color="auto" w:fill="467DE3"/>
          </w:tcPr>
          <w:p>
            <w:pPr>
              <w:spacing w:after="40" w:before="40"/>
            </w:pPr>
            <w:r/>
            <w:r>
              <w:rPr>
                <w:rFonts w:ascii="Calibri" w:hAnsi="Calibri"/>
                <w:b/>
                <w:color w:val="FFFFFF"/>
                <w:sz w:val="19"/>
              </w:rPr>
              <w:t>Implication for the autumn window</w:t>
            </w:r>
          </w:p>
        </w:tc>
      </w:tr>
      <w:tr>
        <w:tc>
          <w:tcPr>
            <w:tcW w:type="dxa" w:w="2448"/>
          </w:tcPr>
          <w:p>
            <w:pPr>
              <w:spacing w:after="40" w:before="40"/>
            </w:pPr>
            <w:r/>
            <w:r>
              <w:rPr>
                <w:rFonts w:ascii="Calibri" w:hAnsi="Calibri"/>
                <w:b w:val="0"/>
                <w:color w:val="020817"/>
                <w:sz w:val="19"/>
              </w:rPr>
              <w:t>Course-page to purchase</w:t>
            </w:r>
          </w:p>
        </w:tc>
        <w:tc>
          <w:tcPr>
            <w:tcW w:type="dxa" w:w="2736"/>
          </w:tcPr>
          <w:p>
            <w:pPr>
              <w:spacing w:after="40" w:before="40"/>
            </w:pPr>
            <w:r/>
            <w:r>
              <w:rPr>
                <w:rFonts w:ascii="Calibri" w:hAnsi="Calibri"/>
                <w:b w:val="0"/>
                <w:color w:val="020817"/>
                <w:sz w:val="19"/>
              </w:rPr>
              <w:t>About 2-5% for a priced course page</w:t>
            </w:r>
          </w:p>
        </w:tc>
        <w:tc>
          <w:tcPr>
            <w:tcW w:type="dxa" w:w="4176"/>
          </w:tcPr>
          <w:p>
            <w:pPr>
              <w:spacing w:after="40" w:before="40"/>
            </w:pPr>
            <w:r/>
            <w:r>
              <w:rPr>
                <w:rFonts w:ascii="Calibri" w:hAnsi="Calibri"/>
                <w:b w:val="0"/>
                <w:color w:val="020817"/>
                <w:sz w:val="19"/>
              </w:rPr>
              <w:t>To net ~15 buyers, we need roughly 400-700 qualified course-page visits.</w:t>
            </w:r>
          </w:p>
        </w:tc>
      </w:tr>
      <w:tr>
        <w:tc>
          <w:tcPr>
            <w:tcW w:type="dxa" w:w="2448"/>
            <w:shd w:val="clear" w:color="auto" w:fill="F1F5F9"/>
          </w:tcPr>
          <w:p>
            <w:pPr>
              <w:spacing w:after="40" w:before="40"/>
            </w:pPr>
            <w:r/>
            <w:r>
              <w:rPr>
                <w:rFonts w:ascii="Calibri" w:hAnsi="Calibri"/>
                <w:b w:val="0"/>
                <w:color w:val="020817"/>
                <w:sz w:val="19"/>
              </w:rPr>
              <w:t>Content to course page</w:t>
            </w:r>
          </w:p>
        </w:tc>
        <w:tc>
          <w:tcPr>
            <w:tcW w:type="dxa" w:w="2736"/>
            <w:shd w:val="clear" w:color="auto" w:fill="F1F5F9"/>
          </w:tcPr>
          <w:p>
            <w:pPr>
              <w:spacing w:after="40" w:before="40"/>
            </w:pPr>
            <w:r/>
            <w:r>
              <w:rPr>
                <w:rFonts w:ascii="Calibri" w:hAnsi="Calibri"/>
                <w:b w:val="0"/>
                <w:color w:val="020817"/>
                <w:sz w:val="19"/>
              </w:rPr>
              <w:t>Short form sends ~1-2% of engaged viewers to a link</w:t>
            </w:r>
          </w:p>
        </w:tc>
        <w:tc>
          <w:tcPr>
            <w:tcW w:type="dxa" w:w="4176"/>
            <w:shd w:val="clear" w:color="auto" w:fill="F1F5F9"/>
          </w:tcPr>
          <w:p>
            <w:pPr>
              <w:spacing w:after="40" w:before="40"/>
            </w:pPr>
            <w:r/>
            <w:r>
              <w:rPr>
                <w:rFonts w:ascii="Calibri" w:hAnsi="Calibri"/>
                <w:b w:val="0"/>
                <w:color w:val="020817"/>
                <w:sz w:val="19"/>
              </w:rPr>
              <w:t>That implies tens of thousands of engaged views routed toward the offer across the season.</w:t>
            </w:r>
          </w:p>
        </w:tc>
      </w:tr>
      <w:tr>
        <w:tc>
          <w:tcPr>
            <w:tcW w:type="dxa" w:w="2448"/>
          </w:tcPr>
          <w:p>
            <w:pPr>
              <w:spacing w:after="40" w:before="40"/>
            </w:pPr>
            <w:r/>
            <w:r>
              <w:rPr>
                <w:rFonts w:ascii="Calibri" w:hAnsi="Calibri"/>
                <w:b w:val="0"/>
                <w:color w:val="020817"/>
                <w:sz w:val="19"/>
              </w:rPr>
              <w:t>Audience build</w:t>
            </w:r>
          </w:p>
        </w:tc>
        <w:tc>
          <w:tcPr>
            <w:tcW w:type="dxa" w:w="2736"/>
          </w:tcPr>
          <w:p>
            <w:pPr>
              <w:spacing w:after="40" w:before="40"/>
            </w:pPr>
            <w:r/>
            <w:r>
              <w:rPr>
                <w:rFonts w:ascii="Calibri" w:hAnsi="Calibri"/>
                <w:b w:val="0"/>
                <w:color w:val="020817"/>
                <w:sz w:val="19"/>
              </w:rPr>
              <w:t>3-6 months to a working following; 4-6 posts/week; 8+ weeks before traction</w:t>
            </w:r>
          </w:p>
        </w:tc>
        <w:tc>
          <w:tcPr>
            <w:tcW w:type="dxa" w:w="4176"/>
          </w:tcPr>
          <w:p>
            <w:pPr>
              <w:spacing w:after="40" w:before="40"/>
            </w:pPr>
            <w:r/>
            <w:r>
              <w:rPr>
                <w:rFonts w:ascii="Calibri" w:hAnsi="Calibri"/>
                <w:b w:val="0"/>
                <w:color w:val="020817"/>
                <w:sz w:val="19"/>
              </w:rPr>
              <w:t>Confirms the build-now mandate. A standing start in October cannot clear the bar.</w:t>
            </w:r>
          </w:p>
        </w:tc>
      </w:tr>
      <w:tr>
        <w:tc>
          <w:tcPr>
            <w:tcW w:type="dxa" w:w="2448"/>
            <w:shd w:val="clear" w:color="auto" w:fill="F1F5F9"/>
          </w:tcPr>
          <w:p>
            <w:pPr>
              <w:spacing w:after="40" w:before="40"/>
            </w:pPr>
            <w:r/>
            <w:r>
              <w:rPr>
                <w:rFonts w:ascii="Calibri" w:hAnsi="Calibri"/>
                <w:b w:val="0"/>
                <w:color w:val="020817"/>
                <w:sz w:val="19"/>
              </w:rPr>
              <w:t>Owned capture</w:t>
            </w:r>
          </w:p>
        </w:tc>
        <w:tc>
          <w:tcPr>
            <w:tcW w:type="dxa" w:w="2736"/>
            <w:shd w:val="clear" w:color="auto" w:fill="F1F5F9"/>
          </w:tcPr>
          <w:p>
            <w:pPr>
              <w:spacing w:after="40" w:before="40"/>
            </w:pPr>
            <w:r/>
            <w:r>
              <w:rPr>
                <w:rFonts w:ascii="Calibri" w:hAnsi="Calibri"/>
                <w:b w:val="0"/>
                <w:color w:val="020817"/>
                <w:sz w:val="19"/>
              </w:rPr>
              <w:t>Course landing pages convert far higher (13-18% median) than cold sales pages</w:t>
            </w:r>
          </w:p>
        </w:tc>
        <w:tc>
          <w:tcPr>
            <w:tcW w:type="dxa" w:w="4176"/>
            <w:shd w:val="clear" w:color="auto" w:fill="F1F5F9"/>
          </w:tcPr>
          <w:p>
            <w:pPr>
              <w:spacing w:after="40" w:before="40"/>
            </w:pPr>
            <w:r/>
            <w:r>
              <w:rPr>
                <w:rFonts w:ascii="Calibri" w:hAnsi="Calibri"/>
                <w:b w:val="0"/>
                <w:color w:val="020817"/>
                <w:sz w:val="19"/>
              </w:rPr>
              <w:t>Email and SEO that pre-warm the visitor materially lift the final number.</w:t>
            </w:r>
          </w:p>
        </w:tc>
      </w:tr>
    </w:tbl>
    <w:p>
      <w:pPr>
        <w:spacing w:after="120"/>
      </w:pPr>
      <w:r>
        <w:rPr>
          <w:rFonts w:ascii="Calibri" w:hAnsi="Calibri"/>
          <w:b w:val="0"/>
          <w:i/>
          <w:color w:val="64748B"/>
          <w:sz w:val="20"/>
        </w:rPr>
        <w:t>These figures are benchmark-based and illustrative, not a forecast. The point is directional: the target is reachable for a niche-fit account over a full season, and only if the catalogue is built before the season starts.</w:t>
      </w:r>
    </w:p>
    <w:p>
      <w:pPr>
        <w:spacing w:before="280" w:after="80"/>
        <w:pBdr>
          <w:bottom w:val="single" w:sz="6" w:space="2" w:color="467DE3"/>
        </w:pBdr>
      </w:pPr>
      <w:r>
        <w:rPr>
          <w:rFonts w:ascii="Calibri" w:hAnsi="Calibri"/>
          <w:b/>
          <w:color w:val="467DE3"/>
          <w:sz w:val="30"/>
        </w:rPr>
        <w:t>10.  Risks and scenarios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467DE3"/>
          </w:tcPr>
          <w:p>
            <w:pPr>
              <w:spacing w:after="40" w:before="40"/>
            </w:pPr>
            <w:r/>
            <w:r>
              <w:rPr>
                <w:rFonts w:ascii="Calibri" w:hAnsi="Calibri"/>
                <w:b/>
                <w:color w:val="FFFFFF"/>
                <w:sz w:val="19"/>
              </w:rPr>
              <w:t>Scenario / risk</w:t>
            </w:r>
          </w:p>
        </w:tc>
        <w:tc>
          <w:tcPr>
            <w:tcW w:type="dxa" w:w="5040"/>
            <w:shd w:val="clear" w:color="auto" w:fill="467DE3"/>
          </w:tcPr>
          <w:p>
            <w:pPr>
              <w:spacing w:after="40" w:before="40"/>
            </w:pPr>
            <w:r/>
            <w:r>
              <w:rPr>
                <w:rFonts w:ascii="Calibri" w:hAnsi="Calibri"/>
                <w:b/>
                <w:color w:val="FFFFFF"/>
                <w:sz w:val="19"/>
              </w:rPr>
              <w:t>Response</w:t>
            </w:r>
          </w:p>
        </w:tc>
      </w:tr>
      <w:tr>
        <w:tc>
          <w:tcPr>
            <w:tcW w:type="dxa" w:w="4320"/>
          </w:tcPr>
          <w:p>
            <w:pPr>
              <w:spacing w:after="40" w:before="40"/>
            </w:pPr>
            <w:r/>
            <w:r>
              <w:rPr>
                <w:rFonts w:ascii="Calibri" w:hAnsi="Calibri"/>
                <w:b w:val="0"/>
                <w:color w:val="020817"/>
                <w:sz w:val="19"/>
              </w:rPr>
              <w:t>Content build slips into September</w:t>
            </w:r>
          </w:p>
        </w:tc>
        <w:tc>
          <w:tcPr>
            <w:tcW w:type="dxa" w:w="5040"/>
          </w:tcPr>
          <w:p>
            <w:pPr>
              <w:spacing w:after="40" w:before="40"/>
            </w:pPr>
            <w:r/>
            <w:r>
              <w:rPr>
                <w:rFonts w:ascii="Calibri" w:hAnsi="Calibri"/>
                <w:b w:val="0"/>
                <w:color w:val="020817"/>
                <w:sz w:val="19"/>
              </w:rPr>
              <w:t>Triage to the October-critical accounting concepts only; narrow to one or two courses; accept a thinner net.</w:t>
            </w:r>
          </w:p>
        </w:tc>
      </w:tr>
      <w:tr>
        <w:tc>
          <w:tcPr>
            <w:tcW w:type="dxa" w:w="4320"/>
            <w:shd w:val="clear" w:color="auto" w:fill="F1F5F9"/>
          </w:tcPr>
          <w:p>
            <w:pPr>
              <w:spacing w:after="40" w:before="40"/>
            </w:pPr>
            <w:r/>
            <w:r>
              <w:rPr>
                <w:rFonts w:ascii="Calibri" w:hAnsi="Calibri"/>
                <w:b w:val="0"/>
                <w:color w:val="020817"/>
                <w:sz w:val="19"/>
              </w:rPr>
              <w:t>One worked example over-performs early</w:t>
            </w:r>
          </w:p>
        </w:tc>
        <w:tc>
          <w:tcPr>
            <w:tcW w:type="dxa" w:w="5040"/>
            <w:shd w:val="clear" w:color="auto" w:fill="F1F5F9"/>
          </w:tcPr>
          <w:p>
            <w:pPr>
              <w:spacing w:after="40" w:before="40"/>
            </w:pPr>
            <w:r/>
            <w:r>
              <w:rPr>
                <w:rFonts w:ascii="Calibri" w:hAnsi="Calibri"/>
                <w:b w:val="0"/>
                <w:color w:val="020817"/>
                <w:sz w:val="19"/>
              </w:rPr>
              <w:t>Make that concept's course the launch hero; reorder the build queue around proven demand.</w:t>
            </w:r>
          </w:p>
        </w:tc>
      </w:tr>
      <w:tr>
        <w:tc>
          <w:tcPr>
            <w:tcW w:type="dxa" w:w="4320"/>
          </w:tcPr>
          <w:p>
            <w:pPr>
              <w:spacing w:after="40" w:before="40"/>
            </w:pPr>
            <w:r/>
            <w:r>
              <w:rPr>
                <w:rFonts w:ascii="Calibri" w:hAnsi="Calibri"/>
                <w:b w:val="0"/>
                <w:color w:val="020817"/>
                <w:sz w:val="19"/>
              </w:rPr>
              <w:t>Low reach through September</w:t>
            </w:r>
          </w:p>
        </w:tc>
        <w:tc>
          <w:tcPr>
            <w:tcW w:type="dxa" w:w="5040"/>
          </w:tcPr>
          <w:p>
            <w:pPr>
              <w:spacing w:after="40" w:before="40"/>
            </w:pPr>
            <w:r/>
            <w:r>
              <w:rPr>
                <w:rFonts w:ascii="Calibri" w:hAnsi="Calibri"/>
                <w:b w:val="0"/>
                <w:color w:val="020817"/>
                <w:sz w:val="19"/>
              </w:rPr>
              <w:t>Shift weight to YouTube search and Reddit/Discord helpfulness, where intent is explicit and reach is not gated.</w:t>
            </w:r>
          </w:p>
        </w:tc>
      </w:tr>
      <w:tr>
        <w:tc>
          <w:tcPr>
            <w:tcW w:type="dxa" w:w="4320"/>
            <w:shd w:val="clear" w:color="auto" w:fill="F1F5F9"/>
          </w:tcPr>
          <w:p>
            <w:pPr>
              <w:spacing w:after="40" w:before="40"/>
            </w:pPr>
            <w:r/>
            <w:r>
              <w:rPr>
                <w:rFonts w:ascii="Calibri" w:hAnsi="Calibri"/>
                <w:b w:val="0"/>
                <w:color w:val="020817"/>
                <w:sz w:val="19"/>
              </w:rPr>
              <w:t>Cannibalisation without net-new buyers (4 wks)</w:t>
            </w:r>
          </w:p>
        </w:tc>
        <w:tc>
          <w:tcPr>
            <w:tcW w:type="dxa" w:w="5040"/>
            <w:shd w:val="clear" w:color="auto" w:fill="F1F5F9"/>
          </w:tcPr>
          <w:p>
            <w:pPr>
              <w:spacing w:after="40" w:before="40"/>
            </w:pPr>
            <w:r/>
            <w:r>
              <w:rPr>
                <w:rFonts w:ascii="Calibri" w:hAnsi="Calibri"/>
                <w:b w:val="0"/>
                <w:color w:val="020817"/>
                <w:sz w:val="19"/>
              </w:rPr>
              <w:t>Treat as a signal the message or audience is off, per vision.md; re-test the hook before scaling effort.</w:t>
            </w:r>
          </w:p>
        </w:tc>
      </w:tr>
      <w:tr>
        <w:tc>
          <w:tcPr>
            <w:tcW w:type="dxa" w:w="4320"/>
          </w:tcPr>
          <w:p>
            <w:pPr>
              <w:spacing w:after="40" w:before="40"/>
            </w:pPr>
            <w:r/>
            <w:r>
              <w:rPr>
                <w:rFonts w:ascii="Calibri" w:hAnsi="Calibri"/>
                <w:b w:val="0"/>
                <w:color w:val="020817"/>
                <w:sz w:val="19"/>
              </w:rPr>
              <w:t>Topic-led rule forfeits the highest-intent hook</w:t>
            </w:r>
          </w:p>
        </w:tc>
        <w:tc>
          <w:tcPr>
            <w:tcW w:type="dxa" w:w="5040"/>
          </w:tcPr>
          <w:p>
            <w:pPr>
              <w:spacing w:after="40" w:before="40"/>
            </w:pPr>
            <w:r/>
            <w:r>
              <w:rPr>
                <w:rFonts w:ascii="Calibri" w:hAnsi="Calibri"/>
                <w:b w:val="0"/>
                <w:color w:val="020817"/>
                <w:sz w:val="19"/>
              </w:rPr>
              <w:t>Accepted trade-off (see decision 2). We win the concept search and keep the school as secondary context.</w:t>
            </w:r>
          </w:p>
        </w:tc>
      </w:tr>
      <w:tr>
        <w:tc>
          <w:tcPr>
            <w:tcW w:type="dxa" w:w="4320"/>
            <w:shd w:val="clear" w:color="auto" w:fill="F1F5F9"/>
          </w:tcPr>
          <w:p>
            <w:pPr>
              <w:spacing w:after="40" w:before="40"/>
            </w:pPr>
            <w:r/>
            <w:r>
              <w:rPr>
                <w:rFonts w:ascii="Calibri" w:hAnsi="Calibri"/>
                <w:b w:val="0"/>
                <w:color w:val="020817"/>
                <w:sz w:val="19"/>
              </w:rPr>
              <w:t>One-operator bandwidth</w:t>
            </w:r>
          </w:p>
        </w:tc>
        <w:tc>
          <w:tcPr>
            <w:tcW w:type="dxa" w:w="5040"/>
            <w:shd w:val="clear" w:color="auto" w:fill="F1F5F9"/>
          </w:tcPr>
          <w:p>
            <w:pPr>
              <w:spacing w:after="40" w:before="40"/>
            </w:pPr>
            <w:r/>
            <w:r>
              <w:rPr>
                <w:rFonts w:ascii="Calibri" w:hAnsi="Calibri"/>
                <w:b w:val="0"/>
                <w:color w:val="020817"/>
                <w:sz w:val="19"/>
              </w:rPr>
              <w:t>Engineer for fewer, deeper pieces; batch-film in June; repurpose one asset across every platform.</w:t>
            </w:r>
          </w:p>
        </w:tc>
      </w:tr>
    </w:tbl>
    <w:p>
      <w:pPr>
        <w:spacing w:after="120"/>
      </w:pPr>
      <w:r>
        <w:rPr>
          <w:rFonts w:ascii="Calibri" w:hAnsi="Calibri"/>
          <w:b w:val="0"/>
          <w:i w:val="0"/>
          <w:color w:val="64748B"/>
          <w:sz w:val="20"/>
        </w:rPr>
        <w:t>The honest headline risk: this is a single-operator, organic, build-ahead strategy. It trades speed for durability. It will not produce a viral spike in week one; it is designed to own a niche by October and compound from there.</w:t>
      </w:r>
    </w:p>
    <w:p>
      <w:pPr>
        <w:spacing w:before="280" w:after="80"/>
        <w:pBdr>
          <w:bottom w:val="single" w:sz="6" w:space="2" w:color="467DE3"/>
        </w:pBdr>
      </w:pPr>
      <w:r>
        <w:rPr>
          <w:rFonts w:ascii="Calibri" w:hAnsi="Calibri"/>
          <w:b/>
          <w:color w:val="467DE3"/>
          <w:sz w:val="30"/>
        </w:rPr>
        <w:t>11.  What I need from you</w:t>
      </w:r>
    </w:p>
    <w:p>
      <w:pPr>
        <w:spacing w:after="120"/>
      </w:pPr>
      <w:r>
        <w:rPr>
          <w:rFonts w:ascii="Calibri" w:hAnsi="Calibri"/>
          <w:b/>
          <w:i w:val="0"/>
          <w:color w:val="020817"/>
          <w:sz w:val="21"/>
        </w:rPr>
        <w:t>Five decisions gate the plan. None require new spend; they require your judgement and a green light to start filming.</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467DE3"/>
          </w:tcPr>
          <w:p>
            <w:pPr>
              <w:spacing w:after="40" w:before="40"/>
            </w:pPr>
            <w:r/>
            <w:r>
              <w:rPr>
                <w:rFonts w:ascii="Calibri" w:hAnsi="Calibri"/>
                <w:b/>
                <w:color w:val="FFFFFF"/>
                <w:sz w:val="19"/>
              </w:rPr>
              <w:t>#</w:t>
            </w:r>
          </w:p>
        </w:tc>
        <w:tc>
          <w:tcPr>
            <w:tcW w:type="dxa" w:w="3312"/>
            <w:shd w:val="clear" w:color="auto" w:fill="467DE3"/>
          </w:tcPr>
          <w:p>
            <w:pPr>
              <w:spacing w:after="40" w:before="40"/>
            </w:pPr>
            <w:r/>
            <w:r>
              <w:rPr>
                <w:rFonts w:ascii="Calibri" w:hAnsi="Calibri"/>
                <w:b/>
                <w:color w:val="FFFFFF"/>
                <w:sz w:val="19"/>
              </w:rPr>
              <w:t>Decision</w:t>
            </w:r>
          </w:p>
        </w:tc>
        <w:tc>
          <w:tcPr>
            <w:tcW w:type="dxa" w:w="5472"/>
            <w:shd w:val="clear" w:color="auto" w:fill="467DE3"/>
          </w:tcPr>
          <w:p>
            <w:pPr>
              <w:spacing w:after="40" w:before="40"/>
            </w:pPr>
            <w:r/>
            <w:r>
              <w:rPr>
                <w:rFonts w:ascii="Calibri" w:hAnsi="Calibri"/>
                <w:b/>
                <w:color w:val="FFFFFF"/>
                <w:sz w:val="19"/>
              </w:rPr>
              <w:t>My recommendation</w:t>
            </w:r>
          </w:p>
        </w:tc>
      </w:tr>
      <w:tr>
        <w:tc>
          <w:tcPr>
            <w:tcW w:type="dxa" w:w="576"/>
          </w:tcPr>
          <w:p>
            <w:pPr>
              <w:spacing w:after="40" w:before="40"/>
            </w:pPr>
            <w:r/>
            <w:r>
              <w:rPr>
                <w:rFonts w:ascii="Calibri" w:hAnsi="Calibri"/>
                <w:b w:val="0"/>
                <w:color w:val="020817"/>
                <w:sz w:val="19"/>
              </w:rPr>
              <w:t>1</w:t>
            </w:r>
          </w:p>
        </w:tc>
        <w:tc>
          <w:tcPr>
            <w:tcW w:type="dxa" w:w="3312"/>
          </w:tcPr>
          <w:p>
            <w:pPr>
              <w:spacing w:after="40" w:before="40"/>
            </w:pPr>
            <w:r/>
            <w:r>
              <w:rPr>
                <w:rFonts w:ascii="Calibri" w:hAnsi="Calibri"/>
                <w:b w:val="0"/>
                <w:color w:val="020817"/>
                <w:sz w:val="19"/>
              </w:rPr>
              <w:t>Channels in scope</w:t>
            </w:r>
          </w:p>
        </w:tc>
        <w:tc>
          <w:tcPr>
            <w:tcW w:type="dxa" w:w="5472"/>
          </w:tcPr>
          <w:p>
            <w:pPr>
              <w:spacing w:after="40" w:before="40"/>
            </w:pPr>
            <w:r/>
            <w:r>
              <w:rPr>
                <w:rFonts w:ascii="Calibri" w:hAnsi="Calibri"/>
                <w:b w:val="0"/>
                <w:color w:val="020817"/>
                <w:sz w:val="19"/>
              </w:rPr>
              <w:t>YouTube primary; TikTok and Reels as repurpose; Reddit/Discord light-touch; defer LinkedIn.</w:t>
            </w:r>
          </w:p>
        </w:tc>
      </w:tr>
      <w:tr>
        <w:tc>
          <w:tcPr>
            <w:tcW w:type="dxa" w:w="576"/>
            <w:shd w:val="clear" w:color="auto" w:fill="F1F5F9"/>
          </w:tcPr>
          <w:p>
            <w:pPr>
              <w:spacing w:after="40" w:before="40"/>
            </w:pPr>
            <w:r/>
            <w:r>
              <w:rPr>
                <w:rFonts w:ascii="Calibri" w:hAnsi="Calibri"/>
                <w:b w:val="0"/>
                <w:color w:val="020817"/>
                <w:sz w:val="19"/>
              </w:rPr>
              <w:t>2</w:t>
            </w:r>
          </w:p>
        </w:tc>
        <w:tc>
          <w:tcPr>
            <w:tcW w:type="dxa" w:w="3312"/>
            <w:shd w:val="clear" w:color="auto" w:fill="F1F5F9"/>
          </w:tcPr>
          <w:p>
            <w:pPr>
              <w:spacing w:after="40" w:before="40"/>
            </w:pPr>
            <w:r/>
            <w:r>
              <w:rPr>
                <w:rFonts w:ascii="Calibri" w:hAnsi="Calibri"/>
                <w:b w:val="0"/>
                <w:color w:val="020817"/>
                <w:sz w:val="19"/>
              </w:rPr>
              <w:t>The trademark trade-off</w:t>
            </w:r>
          </w:p>
        </w:tc>
        <w:tc>
          <w:tcPr>
            <w:tcW w:type="dxa" w:w="5472"/>
            <w:shd w:val="clear" w:color="auto" w:fill="F1F5F9"/>
          </w:tcPr>
          <w:p>
            <w:pPr>
              <w:spacing w:after="40" w:before="40"/>
            </w:pPr>
            <w:r/>
            <w:r>
              <w:rPr>
                <w:rFonts w:ascii="Calibri" w:hAnsi="Calibri"/>
                <w:b w:val="0"/>
                <w:color w:val="020817"/>
                <w:sz w:val="19"/>
              </w:rPr>
              <w:t>Accept staying strictly topic-led, forfeiting the branded-exam hook for legal safety and independence.</w:t>
            </w:r>
          </w:p>
        </w:tc>
      </w:tr>
      <w:tr>
        <w:tc>
          <w:tcPr>
            <w:tcW w:type="dxa" w:w="576"/>
          </w:tcPr>
          <w:p>
            <w:pPr>
              <w:spacing w:after="40" w:before="40"/>
            </w:pPr>
            <w:r/>
            <w:r>
              <w:rPr>
                <w:rFonts w:ascii="Calibri" w:hAnsi="Calibri"/>
                <w:b w:val="0"/>
                <w:color w:val="020817"/>
                <w:sz w:val="19"/>
              </w:rPr>
              <w:t>3</w:t>
            </w:r>
          </w:p>
        </w:tc>
        <w:tc>
          <w:tcPr>
            <w:tcW w:type="dxa" w:w="3312"/>
          </w:tcPr>
          <w:p>
            <w:pPr>
              <w:spacing w:after="40" w:before="40"/>
            </w:pPr>
            <w:r/>
            <w:r>
              <w:rPr>
                <w:rFonts w:ascii="Calibri" w:hAnsi="Calibri"/>
                <w:b w:val="0"/>
                <w:color w:val="020817"/>
                <w:sz w:val="19"/>
              </w:rPr>
              <w:t>Sustainable cadence</w:t>
            </w:r>
          </w:p>
        </w:tc>
        <w:tc>
          <w:tcPr>
            <w:tcW w:type="dxa" w:w="5472"/>
          </w:tcPr>
          <w:p>
            <w:pPr>
              <w:spacing w:after="40" w:before="40"/>
            </w:pPr>
            <w:r/>
            <w:r>
              <w:rPr>
                <w:rFonts w:ascii="Calibri" w:hAnsi="Calibri"/>
                <w:b w:val="0"/>
                <w:color w:val="020817"/>
                <w:sz w:val="19"/>
              </w:rPr>
              <w:t>Commit to a realistic, fewer-but-deeper cadence you can hold through the summer build.</w:t>
            </w:r>
          </w:p>
        </w:tc>
      </w:tr>
      <w:tr>
        <w:tc>
          <w:tcPr>
            <w:tcW w:type="dxa" w:w="576"/>
            <w:shd w:val="clear" w:color="auto" w:fill="F1F5F9"/>
          </w:tcPr>
          <w:p>
            <w:pPr>
              <w:spacing w:after="40" w:before="40"/>
            </w:pPr>
            <w:r/>
            <w:r>
              <w:rPr>
                <w:rFonts w:ascii="Calibri" w:hAnsi="Calibri"/>
                <w:b w:val="0"/>
                <w:color w:val="020817"/>
                <w:sz w:val="19"/>
              </w:rPr>
              <w:t>4</w:t>
            </w:r>
          </w:p>
        </w:tc>
        <w:tc>
          <w:tcPr>
            <w:tcW w:type="dxa" w:w="3312"/>
            <w:shd w:val="clear" w:color="auto" w:fill="F1F5F9"/>
          </w:tcPr>
          <w:p>
            <w:pPr>
              <w:spacing w:after="40" w:before="40"/>
            </w:pPr>
            <w:r/>
            <w:r>
              <w:rPr>
                <w:rFonts w:ascii="Calibri" w:hAnsi="Calibri"/>
                <w:b w:val="0"/>
                <w:color w:val="020817"/>
                <w:sz w:val="19"/>
              </w:rPr>
              <w:t>Lead courses</w:t>
            </w:r>
          </w:p>
        </w:tc>
        <w:tc>
          <w:tcPr>
            <w:tcW w:type="dxa" w:w="5472"/>
            <w:shd w:val="clear" w:color="auto" w:fill="F1F5F9"/>
          </w:tcPr>
          <w:p>
            <w:pPr>
              <w:spacing w:after="40" w:before="40"/>
            </w:pPr>
            <w:r/>
            <w:r>
              <w:rPr>
                <w:rFonts w:ascii="Calibri" w:hAnsi="Calibri"/>
                <w:b w:val="0"/>
                <w:color w:val="020817"/>
                <w:sz w:val="19"/>
              </w:rPr>
              <w:t>Choose the one or two surest October converters to build the flagship worked examples around.</w:t>
            </w:r>
          </w:p>
        </w:tc>
      </w:tr>
      <w:tr>
        <w:tc>
          <w:tcPr>
            <w:tcW w:type="dxa" w:w="576"/>
          </w:tcPr>
          <w:p>
            <w:pPr>
              <w:spacing w:after="40" w:before="40"/>
            </w:pPr>
            <w:r/>
            <w:r>
              <w:rPr>
                <w:rFonts w:ascii="Calibri" w:hAnsi="Calibri"/>
                <w:b w:val="0"/>
                <w:color w:val="020817"/>
                <w:sz w:val="19"/>
              </w:rPr>
              <w:t>5</w:t>
            </w:r>
          </w:p>
        </w:tc>
        <w:tc>
          <w:tcPr>
            <w:tcW w:type="dxa" w:w="3312"/>
          </w:tcPr>
          <w:p>
            <w:pPr>
              <w:spacing w:after="40" w:before="40"/>
            </w:pPr>
            <w:r/>
            <w:r>
              <w:rPr>
                <w:rFonts w:ascii="Calibri" w:hAnsi="Calibri"/>
                <w:b w:val="0"/>
                <w:color w:val="020817"/>
                <w:sz w:val="19"/>
              </w:rPr>
              <w:t>Filming setup</w:t>
            </w:r>
          </w:p>
        </w:tc>
        <w:tc>
          <w:tcPr>
            <w:tcW w:type="dxa" w:w="5472"/>
          </w:tcPr>
          <w:p>
            <w:pPr>
              <w:spacing w:after="40" w:before="40"/>
            </w:pPr>
            <w:r/>
            <w:r>
              <w:rPr>
                <w:rFonts w:ascii="Calibri" w:hAnsi="Calibri"/>
                <w:b w:val="0"/>
                <w:color w:val="020817"/>
                <w:sz w:val="19"/>
              </w:rPr>
              <w:t>Confirm the screen-recording and clean-audio setup, or flag it as a gap to close before June filming.</w:t>
            </w:r>
          </w:p>
        </w:tc>
      </w:tr>
    </w:tbl>
    <w:p>
      <w:pPr>
        <w:spacing w:before="280" w:after="80"/>
        <w:pBdr>
          <w:bottom w:val="single" w:sz="6" w:space="2" w:color="467DE3"/>
        </w:pBdr>
      </w:pPr>
      <w:r>
        <w:rPr>
          <w:rFonts w:ascii="Calibri" w:hAnsi="Calibri"/>
          <w:b/>
          <w:color w:val="467DE3"/>
          <w:sz w:val="30"/>
        </w:rPr>
        <w:t>12.  Recommendation</w:t>
      </w:r>
    </w:p>
    <w:p>
      <w:pPr>
        <w:spacing w:after="120"/>
      </w:pPr>
      <w:r>
        <w:rPr>
          <w:rFonts w:ascii="Calibri" w:hAnsi="Calibri"/>
          <w:b/>
          <w:i w:val="0"/>
          <w:color w:val="020817"/>
          <w:sz w:val="21"/>
        </w:rPr>
        <w:t>Approve the three pillars, lead on YouTube with short form as the net, and begin filming the flagship worked examples in June. Build the catalogue through the summer so it is ranking and trusted before the October midterm panic. The product is already differentiated; the only question is whether we are visible at the moment the student is most afraid. With a twelve-week head start, we can be. Without it, we wait a year.</w:t>
      </w:r>
    </w:p>
    <w:p>
      <w:pPr>
        <w:spacing w:after="120"/>
      </w:pPr>
      <w:r>
        <w:rPr>
          <w:rFonts w:ascii="Calibri" w:hAnsi="Calibri"/>
          <w:b w:val="0"/>
          <w:i w:val="0"/>
          <w:color w:val="64748B"/>
          <w:sz w:val="20"/>
        </w:rPr>
        <w:t>Nothing here is locked. On your approval, the surviving directions go into the content calendar as dated, trackable commitments, and we begin.</w:t>
      </w:r>
    </w:p>
    <w:p>
      <w:r>
        <w:br w:type="page"/>
      </w:r>
    </w:p>
    <w:p>
      <w:pPr>
        <w:spacing w:before="280" w:after="80"/>
        <w:pBdr>
          <w:bottom w:val="single" w:sz="6" w:space="2" w:color="467DE3"/>
        </w:pBdr>
      </w:pPr>
      <w:r>
        <w:rPr>
          <w:rFonts w:ascii="Calibri" w:hAnsi="Calibri"/>
          <w:b/>
          <w:color w:val="467DE3"/>
          <w:sz w:val="30"/>
        </w:rPr>
        <w:t>Appendix A  -  Live TikTok hashtag scan (6 June 2026)</w:t>
      </w:r>
    </w:p>
    <w:p>
      <w:pPr>
        <w:spacing w:after="120"/>
      </w:pPr>
      <w:r>
        <w:rPr>
          <w:rFonts w:ascii="Calibri" w:hAnsi="Calibri"/>
          <w:b w:val="0"/>
          <w:i/>
          <w:color w:val="64748B"/>
          <w:sz w:val="19"/>
        </w:rPr>
        <w:t>Read live off each hashtag page; counts are TikTok's own and approximate. Public pages only; no account actions taken.</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467DE3"/>
          </w:tcPr>
          <w:p>
            <w:pPr>
              <w:spacing w:after="40" w:before="40"/>
            </w:pPr>
            <w:r/>
            <w:r>
              <w:rPr>
                <w:rFonts w:ascii="Calibri" w:hAnsi="Calibri"/>
                <w:b/>
                <w:color w:val="FFFFFF"/>
                <w:sz w:val="19"/>
              </w:rPr>
              <w:t>Hashtag</w:t>
            </w:r>
          </w:p>
        </w:tc>
        <w:tc>
          <w:tcPr>
            <w:tcW w:type="dxa" w:w="1728"/>
            <w:shd w:val="clear" w:color="auto" w:fill="467DE3"/>
          </w:tcPr>
          <w:p>
            <w:pPr>
              <w:spacing w:after="40" w:before="40"/>
            </w:pPr>
            <w:r/>
            <w:r>
              <w:rPr>
                <w:rFonts w:ascii="Calibri" w:hAnsi="Calibri"/>
                <w:b/>
                <w:color w:val="FFFFFF"/>
                <w:sz w:val="19"/>
              </w:rPr>
              <w:t>Videos</w:t>
            </w:r>
          </w:p>
        </w:tc>
        <w:tc>
          <w:tcPr>
            <w:tcW w:type="dxa" w:w="4464"/>
            <w:shd w:val="clear" w:color="auto" w:fill="467DE3"/>
          </w:tcPr>
          <w:p>
            <w:pPr>
              <w:spacing w:after="40" w:before="40"/>
            </w:pPr>
            <w:r/>
            <w:r>
              <w:rPr>
                <w:rFonts w:ascii="Calibri" w:hAnsi="Calibri"/>
                <w:b/>
                <w:color w:val="FFFFFF"/>
                <w:sz w:val="19"/>
              </w:rPr>
              <w:t>Relevance</w:t>
            </w:r>
          </w:p>
        </w:tc>
      </w:tr>
      <w:tr>
        <w:tc>
          <w:tcPr>
            <w:tcW w:type="dxa" w:w="3168"/>
          </w:tcPr>
          <w:p>
            <w:pPr>
              <w:spacing w:after="40" w:before="40"/>
            </w:pPr>
            <w:r/>
            <w:r>
              <w:rPr>
                <w:rFonts w:ascii="Calibri" w:hAnsi="Calibri"/>
                <w:b w:val="0"/>
                <w:color w:val="020817"/>
                <w:sz w:val="19"/>
              </w:rPr>
              <w:t>#studytok</w:t>
            </w:r>
          </w:p>
        </w:tc>
        <w:tc>
          <w:tcPr>
            <w:tcW w:type="dxa" w:w="1728"/>
          </w:tcPr>
          <w:p>
            <w:pPr>
              <w:spacing w:after="40" w:before="40"/>
            </w:pPr>
            <w:r/>
            <w:r>
              <w:rPr>
                <w:rFonts w:ascii="Calibri" w:hAnsi="Calibri"/>
                <w:b w:val="0"/>
                <w:color w:val="020817"/>
                <w:sz w:val="19"/>
              </w:rPr>
              <w:t>4.2M</w:t>
            </w:r>
          </w:p>
        </w:tc>
        <w:tc>
          <w:tcPr>
            <w:tcW w:type="dxa" w:w="4464"/>
          </w:tcPr>
          <w:p>
            <w:pPr>
              <w:spacing w:after="40" w:before="40"/>
            </w:pPr>
            <w:r/>
            <w:r>
              <w:rPr>
                <w:rFonts w:ascii="Calibri" w:hAnsi="Calibri"/>
                <w:b w:val="0"/>
                <w:color w:val="020817"/>
                <w:sz w:val="19"/>
              </w:rPr>
              <w:t>Reach (generic, much non-English)</w:t>
            </w:r>
          </w:p>
        </w:tc>
      </w:tr>
      <w:tr>
        <w:tc>
          <w:tcPr>
            <w:tcW w:type="dxa" w:w="3168"/>
            <w:shd w:val="clear" w:color="auto" w:fill="F1F5F9"/>
          </w:tcPr>
          <w:p>
            <w:pPr>
              <w:spacing w:after="40" w:before="40"/>
            </w:pPr>
            <w:r/>
            <w:r>
              <w:rPr>
                <w:rFonts w:ascii="Calibri" w:hAnsi="Calibri"/>
                <w:b w:val="0"/>
                <w:color w:val="020817"/>
                <w:sz w:val="19"/>
              </w:rPr>
              <w:t>#accounting</w:t>
            </w:r>
          </w:p>
        </w:tc>
        <w:tc>
          <w:tcPr>
            <w:tcW w:type="dxa" w:w="1728"/>
            <w:shd w:val="clear" w:color="auto" w:fill="F1F5F9"/>
          </w:tcPr>
          <w:p>
            <w:pPr>
              <w:spacing w:after="40" w:before="40"/>
            </w:pPr>
            <w:r/>
            <w:r>
              <w:rPr>
                <w:rFonts w:ascii="Calibri" w:hAnsi="Calibri"/>
                <w:b w:val="0"/>
                <w:color w:val="020817"/>
                <w:sz w:val="19"/>
              </w:rPr>
              <w:t>376K</w:t>
            </w:r>
          </w:p>
        </w:tc>
        <w:tc>
          <w:tcPr>
            <w:tcW w:type="dxa" w:w="4464"/>
            <w:shd w:val="clear" w:color="auto" w:fill="F1F5F9"/>
          </w:tcPr>
          <w:p>
            <w:pPr>
              <w:spacing w:after="40" w:before="40"/>
            </w:pPr>
            <w:r/>
            <w:r>
              <w:rPr>
                <w:rFonts w:ascii="Calibri" w:hAnsi="Calibri"/>
                <w:b w:val="0"/>
                <w:color w:val="020817"/>
                <w:sz w:val="19"/>
              </w:rPr>
              <w:t>Mid reach</w:t>
            </w:r>
          </w:p>
        </w:tc>
      </w:tr>
      <w:tr>
        <w:tc>
          <w:tcPr>
            <w:tcW w:type="dxa" w:w="3168"/>
          </w:tcPr>
          <w:p>
            <w:pPr>
              <w:spacing w:after="40" w:before="40"/>
            </w:pPr>
            <w:r/>
            <w:r>
              <w:rPr>
                <w:rFonts w:ascii="Calibri" w:hAnsi="Calibri"/>
                <w:b w:val="0"/>
                <w:color w:val="020817"/>
                <w:sz w:val="19"/>
              </w:rPr>
              <w:t>#contabilidad</w:t>
            </w:r>
          </w:p>
        </w:tc>
        <w:tc>
          <w:tcPr>
            <w:tcW w:type="dxa" w:w="1728"/>
          </w:tcPr>
          <w:p>
            <w:pPr>
              <w:spacing w:after="40" w:before="40"/>
            </w:pPr>
            <w:r/>
            <w:r>
              <w:rPr>
                <w:rFonts w:ascii="Calibri" w:hAnsi="Calibri"/>
                <w:b w:val="0"/>
                <w:color w:val="020817"/>
                <w:sz w:val="19"/>
              </w:rPr>
              <w:t>354K</w:t>
            </w:r>
          </w:p>
        </w:tc>
        <w:tc>
          <w:tcPr>
            <w:tcW w:type="dxa" w:w="4464"/>
          </w:tcPr>
          <w:p>
            <w:pPr>
              <w:spacing w:after="40" w:before="40"/>
            </w:pPr>
            <w:r/>
            <w:r>
              <w:rPr>
                <w:rFonts w:ascii="Calibri" w:hAnsi="Calibri"/>
                <w:b w:val="0"/>
                <w:color w:val="020817"/>
                <w:sz w:val="19"/>
              </w:rPr>
              <w:t>Low (LatAm SMB / CPA, not EU exams)</w:t>
            </w:r>
          </w:p>
        </w:tc>
      </w:tr>
      <w:tr>
        <w:tc>
          <w:tcPr>
            <w:tcW w:type="dxa" w:w="3168"/>
            <w:shd w:val="clear" w:color="auto" w:fill="F1F5F9"/>
          </w:tcPr>
          <w:p>
            <w:pPr>
              <w:spacing w:after="40" w:before="40"/>
            </w:pPr>
            <w:r/>
            <w:r>
              <w:rPr>
                <w:rFonts w:ascii="Calibri" w:hAnsi="Calibri"/>
                <w:b w:val="0"/>
                <w:color w:val="020817"/>
                <w:sz w:val="19"/>
              </w:rPr>
              <w:t>#fintok</w:t>
            </w:r>
          </w:p>
        </w:tc>
        <w:tc>
          <w:tcPr>
            <w:tcW w:type="dxa" w:w="1728"/>
            <w:shd w:val="clear" w:color="auto" w:fill="F1F5F9"/>
          </w:tcPr>
          <w:p>
            <w:pPr>
              <w:spacing w:after="40" w:before="40"/>
            </w:pPr>
            <w:r/>
            <w:r>
              <w:rPr>
                <w:rFonts w:ascii="Calibri" w:hAnsi="Calibri"/>
                <w:b w:val="0"/>
                <w:color w:val="020817"/>
                <w:sz w:val="19"/>
              </w:rPr>
              <w:t>161.1K</w:t>
            </w:r>
          </w:p>
        </w:tc>
        <w:tc>
          <w:tcPr>
            <w:tcW w:type="dxa" w:w="4464"/>
            <w:shd w:val="clear" w:color="auto" w:fill="F1F5F9"/>
          </w:tcPr>
          <w:p>
            <w:pPr>
              <w:spacing w:after="40" w:before="40"/>
            </w:pPr>
            <w:r/>
            <w:r>
              <w:rPr>
                <w:rFonts w:ascii="Calibri" w:hAnsi="Calibri"/>
                <w:b w:val="0"/>
                <w:color w:val="020817"/>
                <w:sz w:val="19"/>
              </w:rPr>
              <w:t>Low (personal finance, wrong intent)</w:t>
            </w:r>
          </w:p>
        </w:tc>
      </w:tr>
      <w:tr>
        <w:tc>
          <w:tcPr>
            <w:tcW w:type="dxa" w:w="3168"/>
          </w:tcPr>
          <w:p>
            <w:pPr>
              <w:spacing w:after="40" w:before="40"/>
            </w:pPr>
            <w:r/>
            <w:r>
              <w:rPr>
                <w:rFonts w:ascii="Calibri" w:hAnsi="Calibri"/>
                <w:b w:val="0"/>
                <w:color w:val="020817"/>
                <w:sz w:val="19"/>
              </w:rPr>
              <w:t>#accountingstudent</w:t>
            </w:r>
          </w:p>
        </w:tc>
        <w:tc>
          <w:tcPr>
            <w:tcW w:type="dxa" w:w="1728"/>
          </w:tcPr>
          <w:p>
            <w:pPr>
              <w:spacing w:after="40" w:before="40"/>
            </w:pPr>
            <w:r/>
            <w:r>
              <w:rPr>
                <w:rFonts w:ascii="Calibri" w:hAnsi="Calibri"/>
                <w:b w:val="0"/>
                <w:color w:val="020817"/>
                <w:sz w:val="19"/>
              </w:rPr>
              <w:t>70.6K</w:t>
            </w:r>
          </w:p>
        </w:tc>
        <w:tc>
          <w:tcPr>
            <w:tcW w:type="dxa" w:w="4464"/>
          </w:tcPr>
          <w:p>
            <w:pPr>
              <w:spacing w:after="40" w:before="40"/>
            </w:pPr>
            <w:r/>
            <w:r>
              <w:rPr>
                <w:rFonts w:ascii="Calibri" w:hAnsi="Calibri"/>
                <w:b w:val="0"/>
                <w:color w:val="020817"/>
                <w:sz w:val="19"/>
              </w:rPr>
              <w:t>High (struggle + how-to-pass)</w:t>
            </w:r>
          </w:p>
        </w:tc>
      </w:tr>
      <w:tr>
        <w:tc>
          <w:tcPr>
            <w:tcW w:type="dxa" w:w="3168"/>
            <w:shd w:val="clear" w:color="auto" w:fill="F1F5F9"/>
          </w:tcPr>
          <w:p>
            <w:pPr>
              <w:spacing w:after="40" w:before="40"/>
            </w:pPr>
            <w:r/>
            <w:r>
              <w:rPr>
                <w:rFonts w:ascii="Calibri" w:hAnsi="Calibri"/>
                <w:b w:val="0"/>
                <w:color w:val="020817"/>
                <w:sz w:val="19"/>
              </w:rPr>
              <w:t>#businessschool</w:t>
            </w:r>
          </w:p>
        </w:tc>
        <w:tc>
          <w:tcPr>
            <w:tcW w:type="dxa" w:w="1728"/>
            <w:shd w:val="clear" w:color="auto" w:fill="F1F5F9"/>
          </w:tcPr>
          <w:p>
            <w:pPr>
              <w:spacing w:after="40" w:before="40"/>
            </w:pPr>
            <w:r/>
            <w:r>
              <w:rPr>
                <w:rFonts w:ascii="Calibri" w:hAnsi="Calibri"/>
                <w:b w:val="0"/>
                <w:color w:val="020817"/>
                <w:sz w:val="19"/>
              </w:rPr>
              <w:t>43.9K</w:t>
            </w:r>
          </w:p>
        </w:tc>
        <w:tc>
          <w:tcPr>
            <w:tcW w:type="dxa" w:w="4464"/>
            <w:shd w:val="clear" w:color="auto" w:fill="F1F5F9"/>
          </w:tcPr>
          <w:p>
            <w:pPr>
              <w:spacing w:after="40" w:before="40"/>
            </w:pPr>
            <w:r/>
            <w:r>
              <w:rPr>
                <w:rFonts w:ascii="Calibri" w:hAnsi="Calibri"/>
                <w:b w:val="0"/>
                <w:color w:val="020817"/>
                <w:sz w:val="19"/>
              </w:rPr>
              <w:t>Mid</w:t>
            </w:r>
          </w:p>
        </w:tc>
      </w:tr>
      <w:tr>
        <w:tc>
          <w:tcPr>
            <w:tcW w:type="dxa" w:w="3168"/>
          </w:tcPr>
          <w:p>
            <w:pPr>
              <w:spacing w:after="40" w:before="40"/>
            </w:pPr>
            <w:r/>
            <w:r>
              <w:rPr>
                <w:rFonts w:ascii="Calibri" w:hAnsi="Calibri"/>
                <w:b w:val="0"/>
                <w:color w:val="020817"/>
                <w:sz w:val="19"/>
              </w:rPr>
              <w:t>#corporatefinance</w:t>
            </w:r>
          </w:p>
        </w:tc>
        <w:tc>
          <w:tcPr>
            <w:tcW w:type="dxa" w:w="1728"/>
          </w:tcPr>
          <w:p>
            <w:pPr>
              <w:spacing w:after="40" w:before="40"/>
            </w:pPr>
            <w:r/>
            <w:r>
              <w:rPr>
                <w:rFonts w:ascii="Calibri" w:hAnsi="Calibri"/>
                <w:b w:val="0"/>
                <w:color w:val="020817"/>
                <w:sz w:val="19"/>
              </w:rPr>
              <w:t>5.6K</w:t>
            </w:r>
          </w:p>
        </w:tc>
        <w:tc>
          <w:tcPr>
            <w:tcW w:type="dxa" w:w="4464"/>
          </w:tcPr>
          <w:p>
            <w:pPr>
              <w:spacing w:after="40" w:before="40"/>
            </w:pPr>
            <w:r/>
            <w:r>
              <w:rPr>
                <w:rFonts w:ascii="Calibri" w:hAnsi="Calibri"/>
                <w:b w:val="0"/>
                <w:color w:val="020817"/>
                <w:sz w:val="19"/>
              </w:rPr>
              <w:t>Mid (careers, not coursework)</w:t>
            </w:r>
          </w:p>
        </w:tc>
      </w:tr>
      <w:tr>
        <w:tc>
          <w:tcPr>
            <w:tcW w:type="dxa" w:w="3168"/>
            <w:shd w:val="clear" w:color="auto" w:fill="F1F5F9"/>
          </w:tcPr>
          <w:p>
            <w:pPr>
              <w:spacing w:after="40" w:before="40"/>
            </w:pPr>
            <w:r/>
            <w:r>
              <w:rPr>
                <w:rFonts w:ascii="Calibri" w:hAnsi="Calibri"/>
                <w:b w:val="0"/>
                <w:color w:val="020817"/>
                <w:sz w:val="19"/>
              </w:rPr>
              <w:t>#financialaccounting</w:t>
            </w:r>
          </w:p>
        </w:tc>
        <w:tc>
          <w:tcPr>
            <w:tcW w:type="dxa" w:w="1728"/>
            <w:shd w:val="clear" w:color="auto" w:fill="F1F5F9"/>
          </w:tcPr>
          <w:p>
            <w:pPr>
              <w:spacing w:after="40" w:before="40"/>
            </w:pPr>
            <w:r/>
            <w:r>
              <w:rPr>
                <w:rFonts w:ascii="Calibri" w:hAnsi="Calibri"/>
                <w:b w:val="0"/>
                <w:color w:val="020817"/>
                <w:sz w:val="19"/>
              </w:rPr>
              <w:t>4.0K</w:t>
            </w:r>
          </w:p>
        </w:tc>
        <w:tc>
          <w:tcPr>
            <w:tcW w:type="dxa" w:w="4464"/>
            <w:shd w:val="clear" w:color="auto" w:fill="F1F5F9"/>
          </w:tcPr>
          <w:p>
            <w:pPr>
              <w:spacing w:after="40" w:before="40"/>
            </w:pPr>
            <w:r/>
            <w:r>
              <w:rPr>
                <w:rFonts w:ascii="Calibri" w:hAnsi="Calibri"/>
                <w:b w:val="0"/>
                <w:color w:val="020817"/>
                <w:sz w:val="19"/>
              </w:rPr>
              <w:t>Highest (exact concept lane)</w:t>
            </w:r>
          </w:p>
        </w:tc>
      </w:tr>
    </w:tbl>
    <w:p>
      <w:pPr>
        <w:spacing w:after="120"/>
      </w:pPr>
      <w:r>
        <w:rPr>
          <w:rFonts w:ascii="Calibri" w:hAnsi="Calibri"/>
          <w:b w:val="0"/>
          <w:i w:val="0"/>
          <w:color w:val="020817"/>
          <w:sz w:val="20"/>
        </w:rPr>
        <w:t>Instagram no longer publishes hashtag post counts, so it cannot be sized quantitatively; treat it as a repurpose target.</w:t>
      </w:r>
    </w:p>
    <w:p>
      <w:pPr>
        <w:spacing w:before="280" w:after="80"/>
        <w:pBdr>
          <w:bottom w:val="single" w:sz="6" w:space="2" w:color="467DE3"/>
        </w:pBdr>
      </w:pPr>
      <w:r>
        <w:rPr>
          <w:rFonts w:ascii="Calibri" w:hAnsi="Calibri"/>
          <w:b/>
          <w:color w:val="467DE3"/>
          <w:sz w:val="30"/>
        </w:rPr>
        <w:t>Appendix B  -  Sources</w:t>
      </w:r>
    </w:p>
    <w:p>
      <w:pPr>
        <w:pStyle w:val="ListBullet"/>
        <w:spacing w:after="60"/>
      </w:pPr>
      <w:r>
        <w:rPr>
          <w:rFonts w:ascii="Calibri" w:hAnsi="Calibri"/>
          <w:color w:val="020817"/>
          <w:sz w:val="21"/>
        </w:rPr>
        <w:t>IE University 2026-2027 Academic Calendar (PDF)</w:t>
      </w:r>
    </w:p>
    <w:p>
      <w:pPr>
        <w:pStyle w:val="ListBullet"/>
        <w:spacing w:after="60"/>
      </w:pPr>
      <w:r>
        <w:rPr>
          <w:rFonts w:ascii="Calibri" w:hAnsi="Calibri"/>
          <w:color w:val="020817"/>
          <w:sz w:val="21"/>
        </w:rPr>
        <w:t>Gen Z financial-media behaviour: GOBankingRates; Fast Company; YR Media</w:t>
      </w:r>
    </w:p>
    <w:p>
      <w:pPr>
        <w:pStyle w:val="ListBullet"/>
        <w:spacing w:after="60"/>
      </w:pPr>
      <w:r>
        <w:rPr>
          <w:rFonts w:ascii="Calibri" w:hAnsi="Calibri"/>
          <w:color w:val="020817"/>
          <w:sz w:val="21"/>
        </w:rPr>
        <w:t>Short-form mechanics 2026: ALM Corp; JoinBrands (YouTube Shorts); Digital Applied</w:t>
      </w:r>
    </w:p>
    <w:p>
      <w:pPr>
        <w:pStyle w:val="ListBullet"/>
        <w:spacing w:after="60"/>
      </w:pPr>
      <w:r>
        <w:rPr>
          <w:rFonts w:ascii="Calibri" w:hAnsi="Calibri"/>
          <w:color w:val="020817"/>
          <w:sz w:val="21"/>
        </w:rPr>
        <w:t>Creator landscape: FeedSpot finance YouTubers and TikTok influencers</w:t>
      </w:r>
    </w:p>
    <w:p>
      <w:pPr>
        <w:pStyle w:val="ListBullet"/>
        <w:spacing w:after="60"/>
      </w:pPr>
      <w:r>
        <w:rPr>
          <w:rFonts w:ascii="Calibri" w:hAnsi="Calibri"/>
          <w:color w:val="020817"/>
          <w:sz w:val="21"/>
        </w:rPr>
        <w:t>AI and study: ScienceDaily; ScienceDirect (ChatGPT and student engagement)</w:t>
      </w:r>
    </w:p>
    <w:p>
      <w:pPr>
        <w:pStyle w:val="ListBullet"/>
        <w:spacing w:after="60"/>
      </w:pPr>
      <w:r>
        <w:rPr>
          <w:rFonts w:ascii="Calibri" w:hAnsi="Calibri"/>
          <w:color w:val="020817"/>
          <w:sz w:val="21"/>
        </w:rPr>
        <w:t>Hardest accounting topics: Brainscape; UWorld; PassAccountingClass; Research.com</w:t>
      </w:r>
    </w:p>
    <w:p>
      <w:pPr>
        <w:pStyle w:val="ListBullet"/>
        <w:spacing w:after="60"/>
      </w:pPr>
      <w:r>
        <w:rPr>
          <w:rFonts w:ascii="Calibri" w:hAnsi="Calibri"/>
          <w:color w:val="020817"/>
          <w:sz w:val="21"/>
        </w:rPr>
        <w:t>Growth and conversion benchmarks: Stackmatix; SeoSherpa; Acceleroi; Unbounce; Teachfloor</w:t>
      </w:r>
    </w:p>
    <w:p>
      <w:pPr>
        <w:pStyle w:val="ListBullet"/>
        <w:spacing w:after="60"/>
      </w:pPr>
      <w:r>
        <w:rPr>
          <w:rFonts w:ascii="Calibri" w:hAnsi="Calibri"/>
          <w:color w:val="020817"/>
          <w:sz w:val="21"/>
        </w:rPr>
        <w:t>Live hashtag scan: TikTok hashtag pages, 6 June 2026</w:t>
      </w:r>
    </w:p>
    <w:p>
      <w:pPr>
        <w:pStyle w:val="ListBullet"/>
        <w:spacing w:after="60"/>
      </w:pPr>
      <w:r>
        <w:rPr>
          <w:rFonts w:ascii="Calibri" w:hAnsi="Calibri"/>
          <w:color w:val="020817"/>
          <w:sz w:val="21"/>
        </w:rPr>
        <w:t>Full working notes: docs/research/2026-06-05-fall-launch-market-research.md and docs/research/2026-06-06-tiktok-instagram-hashtag-stats.md</w:t>
      </w:r>
    </w:p>
    <w:p>
      <w:pPr>
        <w:spacing w:after="120"/>
      </w:pPr>
      <w:r>
        <w:rPr>
          <w:rFonts w:ascii="Calibri" w:hAnsi="Calibri"/>
          <w:b w:val="0"/>
          <w:i w:val="0"/>
          <w:color w:val="020817"/>
          <w:sz w:val="21"/>
        </w:rPr>
      </w:r>
    </w:p>
    <w:p>
      <w:pPr>
        <w:spacing w:after="120"/>
      </w:pPr>
      <w:r>
        <w:rPr>
          <w:rFonts w:ascii="Calibri" w:hAnsi="Calibri"/>
          <w:b w:val="0"/>
          <w:i/>
          <w:color w:val="64748B"/>
          <w:sz w:val="18"/>
        </w:rPr>
        <w:t>Edlintics is independent and not affiliated with, endorsed by, or sponsored by any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208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