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 xml:space="preserve">TV. Hội đồng thành viên</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TV. Hội đồng thành viên</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 xml:space="preserve">Người quản lý công ty</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HĐ TV Tổng công ty</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Hồ Chí Minh</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370D2F" w:rsidRPr="008079AB" w:rsidRDefault="008E65A2" w:rsidP="00A71C67">
            <w:pPr>
              <w:pStyle w:val="NormalWeb"/>
              <w:shd w:val="clear" w:color="auto" w:fill="FFFFFF"/>
              <w:spacing w:before="0" w:beforeAutospacing="0" w:after="0" w:afterAutospacing="0" w:line="288" w:lineRule="auto"/>
              <w:rPr>
                <w:sz w:val="26"/>
                <w:szCs w:val="26"/>
              </w:rPr>
            </w:pPr>
            <w:r w:rsidRPr="008079AB">
              <w:rPr>
                <w:iCs/>
                <w:color w:val="002060"/>
                <w:sz w:val="26"/>
                <w:szCs w:val="26"/>
              </w:rPr>
              <w:t xml:space="preserve">Tổ chức thực hiện, tham mưu giúp Chủ tịch HĐTV, UBND TP các lĩnh vực công tác: Kiểm tra, giám sát các hoạt động của Tổng công ty nhằm giúp chủ sở hữu kiểm soát hiệu quả sử dụng nguồn lực đã giao và việc chấp hành đúng quy định pháp luật các hoạt động của Tổng công ty.       </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để nhận sự chỉ đạo, điều hành và tham mưu và đề đạt ý kiến giải quyết công việc được giao. Tham mưu/thẩm định/phê duyệt/đề xuất phương án/kế hoạch/chiến lược công tác và báo cáo, giải trình các công  việc được giao</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Quản lý, phân công, chỉ đạo, điều hành toàn bộ các cá nhân và đơn vị  trong Tổng Công ty; Tiếp nhận, phân tích, phản hồi các ý kiến đề đạt, tham mưu của cấp dưới.</w:t>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Các cơ quan ban/ngành của Thành phố và các cơ quan Quản lý nhà nước (Sở ngành, Thuế, BHXH) khi có yêu cầu</w:t>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Thực hiện tham mưu cho Chủ tịch Hội đồng thành viên hoạch định chiến lược phát triển của Tổng Công Ty Thương Mại Sài Gòn TNHH một Thành viên theo đúng định hướng, chủ trương của UBND TP.</w:t>
              <w:br/>
              <w:t xml:space="preserve">2. Thực hiện tham mưu cho Chủ tịch Hội đồng thành viên tổ chức việc chuẩn bị chương trình, kế hoạch hoạt động của Hội đồng thành viên;</w:t>
              <w:br/>
              <w:t xml:space="preserve">3. Tổ chức việc chuẩn bị chương trình, nội dung, tài liệu họp Hội đồng thành viên hoặc để lấy ý kiến các thành viên;</w:t>
              <w:br/>
              <w:t xml:space="preserve">4. Thực hiện tham mưu cho Chủ tịch Hội đồng thành viên hoặc thay thế Chủ tịch Hội đồng thành viên chủ trì cuộc họp Hội đồng thành viên hoặc tổ chức việc lấy ý kiến các thành viên (nếu được ủy quyền);</w:t>
              <w:br/>
              <w:t xml:space="preserve">5. Giám sát, tổ chức giám sát việc thực hiện các quyết định của Hội đồng thành viên; Giám sát thực hiện kế hoạch kiểm tra của các Kiểm Soát viên </w:t>
              <w:br/>
              <w:t xml:space="preserve">6. Tổ chức công tác lưu trữ hồ sơ tài liệu liên quan đến công tác chuyên môn theo đúng các quy định của Nhà nước và UBND TP</w:t>
              <w:br/>
              <w:t xml:space="preserve">7. Xây dựng, giao mục tiêu và đánh giá thành tích công tác cấp dưới, đề nghị khen thưởng kỹ luật cấp dưới</w:t>
              <w:br/>
              <w:t xml:space="preserve">8. Thực hiện các nhiệm vụ khác theo sự phân công của Tổng Giám đốc</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8. Trách nhiệm đối với kết quả công việc, tính mạng con người, tài sản và phương tiện làm việc trong Tổng Công ty nhưng không phải tất cả</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về các hoạt động thuộc chức năng nhiệm vụ của Thành viên Hội đồng thành viên TCTY</w:t>
              <w:br/>
              <w:t xml:space="preserve">2. Tuân thủ hệ thống các Điều lệ, và các quy chế, quy định, quy trình có liên quan của Tổng Công ty.</w:t>
              <w:br/>
              <w:t xml:space="preserve">3. Chịu trách nhiệm trước UBND Thành phố và trước pháp luật về các quyết định và các văn bản do mình ký;</w:t>
              <w:br/>
              <w:t xml:space="preserve"/>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8. Công việc ảnh hưởng trực tiếp đến tổ chức, hoạt động; công việc; sản phẩm/dịch vụ khác ở nhiều đơn vị trong Công ty nhưng không phải tất cả</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7. Công việc cần phân tích, tổng hợp thông tin đa chiều để đưa ra quyết định giải quyết vấn đề, mang tính đổi mới một vài chức năng trong Tổ chức</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10. Được đào tạo về chuyên môn về kỹ thuật /nghiệp vụ 12 tháng trở lên và tốt nghiệp trên đại học</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9. Làm thành thạo thêm một vài công việc ngoài chức năng phụ trách /hoặc yêu cầu tích lũy kinh nghiệm từ 07 đến dưới 10 năm</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 xml:space="preserve">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 xml:space="preserve">Cấp độ B2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 xml:space="preserve">Sử dụng thành thạo vi tính văn phòng Word, Excel và các phần mềm chuyên dụng phục vụ công tác được giao trong phạm vi toàn công ty</w:t>
      </w:r>
    </w:p>
    <w:p w:rsidR="00F32467" w:rsidRPr="008079AB"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Kỹ năng  và yêu cầu khác (phục vụ cho công việc)</w:t>
      </w:r>
      <w:r w:rsidR="00D42382" w:rsidRPr="008079AB">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079AB" w:rsidTr="009E503B">
        <w:tc>
          <w:tcPr>
            <w:tcW w:w="9295" w:type="dxa"/>
          </w:tcPr>
          <w:p w:rsidR="009E503B" w:rsidRPr="008079AB" w:rsidRDefault="009E503B" w:rsidP="009E503B">
            <w:pPr>
              <w:spacing w:before="60" w:after="60"/>
              <w:ind w:firstLine="34"/>
              <w:rPr>
                <w:rFonts w:ascii="Times New Roman" w:hAnsi="Times New Roman" w:cs="Times New Roman"/>
                <w:b/>
                <w:bCs/>
                <w:i/>
                <w:sz w:val="26"/>
                <w:szCs w:val="26"/>
              </w:rPr>
            </w:pPr>
            <w:r w:rsidRPr="008079AB">
              <w:rPr>
                <w:rFonts w:ascii="Times New Roman" w:hAnsi="Times New Roman" w:cs="Times New Roman"/>
                <w:bCs/>
                <w:color w:val="002060"/>
                <w:sz w:val="26"/>
                <w:szCs w:val="26"/>
              </w:rPr>
              <w:t xml:space="preserve">- Có Trí cao, Tầm rộng, Tâm sáng;</w:t>
              <w:br/>
              <w:t xml:space="preserve">- Năng động, sáng tạo, chuyên nghiệp và tự tin.</w:t>
              <w:br/>
              <w:t xml:space="preserve">- Có khả năng thuyết trình, giải quyết mâu thuẫn, thuyết phục</w:t>
              <w:br/>
              <w:t xml:space="preserve">- Kỹ năng phân tích tổng hợp,dự báo nhận định phán đoán tình hình và đề xuất phương án tối ưu để giải quyết vấn đề.</w:t>
              <w:br/>
              <w:t xml:space="preserve">- Quyết đoán, trung thực nhiệt huyết.</w:t>
              <w:br/>
              <w:t xml:space="preserve">- Làm việc độc lập, theo Nhóm với cường độ và áp lực cao.</w:t>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9. Giao tiếp, phối hợp làm việc phạm vi nội bộ, ở cấp độ thương lượng /thỏa hiệp chiến lược trong điều kiện phức tạp ảnh hưởng quan trọng đến tổ chức</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 xml:space="preserve">6. Thể chất, thần kinh, giác quan và môi trường làm việc trong điều kiện có yếu tố tác động gây áp lực /nguy hiểm/ rủ ro cao</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 xml:space="preserve">Không.</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 xml:space="preserve">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Ngày     tháng     năm 2022</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7" w:rsidRDefault="00435907" w:rsidP="00713A53">
      <w:pPr>
        <w:spacing w:line="240" w:lineRule="auto"/>
      </w:pPr>
      <w:r>
        <w:separator/>
      </w:r>
    </w:p>
  </w:endnote>
  <w:endnote w:type="continuationSeparator" w:id="0">
    <w:p w:rsidR="00435907" w:rsidRDefault="00435907"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7" w:rsidRDefault="00435907" w:rsidP="00713A53">
      <w:pPr>
        <w:spacing w:line="240" w:lineRule="auto"/>
      </w:pPr>
      <w:r>
        <w:separator/>
      </w:r>
    </w:p>
  </w:footnote>
  <w:footnote w:type="continuationSeparator" w:id="0">
    <w:p w:rsidR="00435907" w:rsidRDefault="00435907"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4359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bookmarkStart w:id="0" w:name="_GoBack"/>
          <w:r>
            <w:rPr>
              <w:rFonts w:ascii="Times New Roman" w:hAnsi="Times New Roman" w:cs="Times New Roman"/>
              <w:b/>
              <w:noProof/>
              <w:color w:val="FF0000"/>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 xml:space="preserve">TV. Hội đồng thành viên</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40</cp:revision>
  <cp:lastPrinted>2018-11-09T06:02:00Z</cp:lastPrinted>
  <dcterms:created xsi:type="dcterms:W3CDTF">2022-09-26T11:19:00Z</dcterms:created>
  <dcterms:modified xsi:type="dcterms:W3CDTF">2022-11-23T12:28:00Z</dcterms:modified>
</cp:coreProperties>
</file>