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0.40.4</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Tập bài báo được giao có nhiều bài trùng nhau; sau khi loại bài trùng, corpus còn 95 bài và chỉ 23 bài thuộc nhóm quantum (17 Quantum Security, 6 Quantum Machine Learning). Không có chủ đề thứ ba nào đủ gần để ghép thêm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seed cố định cho từng lần bootstrap); paired difference giữa hai hệ tính trên cùng câu hỏi (bootstrap 5000 lần), cách làm giống nội dung 1. Bảng paired difference là một họ so sánh (3 nhóm câu × 5 chỉ số) và p được hiệu chỉnh đa so sánh theo Holm; chỉ chênh lệch qua được hiệu chỉnh mới được gọi là có statistical significance.</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0,628</w:t>
              <w:br/>
              <w:t>[0,566; 0,686]</w:t>
              <w:br/>
              <w:t>(n = 61)</w:t>
            </w:r>
          </w:p>
        </w:tc>
        <w:tc>
          <w:tcPr>
            <w:tcW w:type="dxa" w:w="1304"/>
          </w:tcPr>
          <w:p>
            <w:pPr>
              <w:spacing w:after="20" w:line="264" w:lineRule="auto"/>
              <w:jc w:val="center"/>
            </w:pPr>
            <w:r/>
            <w:r>
              <w:rPr>
                <w:sz w:val="18"/>
              </w:rPr>
              <w:t>0,891</w:t>
              <w:br/>
              <w:t>[0,852; 0,928]</w:t>
              <w:br/>
              <w:t>(n = 56)</w:t>
            </w:r>
          </w:p>
        </w:tc>
        <w:tc>
          <w:tcPr>
            <w:tcW w:type="dxa" w:w="1304"/>
          </w:tcPr>
          <w:p>
            <w:pPr>
              <w:spacing w:after="20" w:line="264" w:lineRule="auto"/>
              <w:jc w:val="center"/>
            </w:pPr>
            <w:r/>
            <w:r>
              <w:rPr>
                <w:sz w:val="18"/>
              </w:rPr>
              <w:t>0,743</w:t>
              <w:br/>
              <w:t>[0,680; 0,799]</w:t>
            </w:r>
          </w:p>
        </w:tc>
        <w:tc>
          <w:tcPr>
            <w:tcW w:type="dxa" w:w="1389"/>
          </w:tcPr>
          <w:p>
            <w:pPr>
              <w:spacing w:after="20" w:line="264" w:lineRule="auto"/>
              <w:jc w:val="center"/>
            </w:pPr>
            <w:r/>
            <w:r>
              <w:rPr>
                <w:sz w:val="18"/>
              </w:rPr>
              <w:t>43,5%</w:t>
              <w:br/>
              <w:t>[32,3%; 56,5%]</w:t>
            </w:r>
          </w:p>
        </w:tc>
        <w:tc>
          <w:tcPr>
            <w:tcW w:type="dxa" w:w="1389"/>
          </w:tcPr>
          <w:p>
            <w:pPr>
              <w:spacing w:after="20" w:line="264" w:lineRule="auto"/>
              <w:jc w:val="center"/>
            </w:pPr>
            <w:r/>
            <w:r>
              <w:rPr>
                <w:sz w:val="18"/>
              </w:rPr>
              <w:t>85,5%</w:t>
              <w:br/>
              <w:t>[77,4%;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0,504</w:t>
              <w:br/>
              <w:t>[0,450; 0,558]</w:t>
              <w:br/>
              <w:t>(n = 60)</w:t>
            </w:r>
          </w:p>
        </w:tc>
        <w:tc>
          <w:tcPr>
            <w:tcW w:type="dxa" w:w="1304"/>
            <w:shd w:val="clear" w:color="auto" w:fill="F0F5FC"/>
          </w:tcPr>
          <w:p>
            <w:pPr>
              <w:spacing w:after="20" w:line="264" w:lineRule="auto"/>
              <w:jc w:val="center"/>
            </w:pPr>
            <w:r/>
            <w:r>
              <w:rPr>
                <w:sz w:val="18"/>
              </w:rPr>
              <w:t>0,847</w:t>
              <w:br/>
              <w:t>[0,808; 0,884]</w:t>
              <w:br/>
              <w:t>(n = 56)</w:t>
            </w:r>
          </w:p>
        </w:tc>
        <w:tc>
          <w:tcPr>
            <w:tcW w:type="dxa" w:w="1304"/>
            <w:shd w:val="clear" w:color="auto" w:fill="F0F5FC"/>
          </w:tcPr>
          <w:p>
            <w:pPr>
              <w:spacing w:after="20" w:line="264" w:lineRule="auto"/>
              <w:jc w:val="center"/>
            </w:pPr>
            <w:r/>
            <w:r>
              <w:rPr>
                <w:sz w:val="18"/>
              </w:rPr>
              <w:t>0,740</w:t>
              <w:br/>
              <w:t>[0,672; 0,797]</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[71,0%;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0,513</w:t>
              <w:br/>
              <w:t>[0,413; 0,609]</w:t>
              <w:br/>
              <w:t>(n = 26)</w:t>
            </w:r>
          </w:p>
        </w:tc>
        <w:tc>
          <w:tcPr>
            <w:tcW w:type="dxa" w:w="1304"/>
          </w:tcPr>
          <w:p>
            <w:pPr>
              <w:spacing w:after="20" w:line="264" w:lineRule="auto"/>
              <w:jc w:val="center"/>
            </w:pPr>
            <w:r/>
            <w:r>
              <w:rPr>
                <w:sz w:val="18"/>
              </w:rPr>
              <w:t>0,945</w:t>
              <w:br/>
              <w:t>[0,894; 0,985]</w:t>
              <w:br/>
              <w:t>(n = 25)</w:t>
            </w:r>
          </w:p>
        </w:tc>
        <w:tc>
          <w:tcPr>
            <w:tcW w:type="dxa" w:w="1304"/>
          </w:tcPr>
          <w:p>
            <w:pPr>
              <w:spacing w:after="20" w:line="264" w:lineRule="auto"/>
              <w:jc w:val="center"/>
            </w:pPr>
            <w:r/>
            <w:r>
              <w:rPr>
                <w:sz w:val="18"/>
              </w:rPr>
              <w:t>0,766</w:t>
              <w:br/>
              <w:t>[0,667; 0,837]</w:t>
            </w:r>
          </w:p>
        </w:tc>
        <w:tc>
          <w:tcPr>
            <w:tcW w:type="dxa" w:w="1389"/>
          </w:tcPr>
          <w:p>
            <w:pPr>
              <w:spacing w:after="20" w:line="264" w:lineRule="auto"/>
              <w:jc w:val="center"/>
            </w:pPr>
            <w:r/>
            <w:r>
              <w:rPr>
                <w:sz w:val="18"/>
              </w:rPr>
              <w:t>18,5%</w:t>
              <w:br/>
              <w:t>[3,7%;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0,452</w:t>
              <w:br/>
              <w:t>[0,365; 0,538]</w:t>
              <w:br/>
              <w:t>(n = 26)</w:t>
            </w:r>
          </w:p>
        </w:tc>
        <w:tc>
          <w:tcPr>
            <w:tcW w:type="dxa" w:w="1304"/>
            <w:shd w:val="clear" w:color="auto" w:fill="F0F5FC"/>
          </w:tcPr>
          <w:p>
            <w:pPr>
              <w:spacing w:after="20" w:line="264" w:lineRule="auto"/>
              <w:jc w:val="center"/>
            </w:pPr>
            <w:r/>
            <w:r>
              <w:rPr>
                <w:sz w:val="18"/>
              </w:rPr>
              <w:t>0,904</w:t>
              <w:br/>
              <w:t>[0,847; 0,958]</w:t>
              <w:br/>
              <w:t>(n = 23)</w:t>
            </w:r>
          </w:p>
        </w:tc>
        <w:tc>
          <w:tcPr>
            <w:tcW w:type="dxa" w:w="1304"/>
            <w:shd w:val="clear" w:color="auto" w:fill="F0F5FC"/>
          </w:tcPr>
          <w:p>
            <w:pPr>
              <w:spacing w:after="20" w:line="264" w:lineRule="auto"/>
              <w:jc w:val="center"/>
            </w:pPr>
            <w:r/>
            <w:r>
              <w:rPr>
                <w:sz w:val="18"/>
              </w:rPr>
              <w:t>0,704</w:t>
              <w:br/>
              <w:t>[0,582; 0,803]</w:t>
            </w:r>
          </w:p>
        </w:tc>
        <w:tc>
          <w:tcPr>
            <w:tcW w:type="dxa" w:w="1389"/>
            <w:shd w:val="clear" w:color="auto" w:fill="F0F5FC"/>
          </w:tcPr>
          <w:p>
            <w:pPr>
              <w:spacing w:after="20" w:line="264" w:lineRule="auto"/>
              <w:jc w:val="center"/>
            </w:pPr>
            <w:r/>
            <w:r>
              <w:rPr>
                <w:sz w:val="18"/>
              </w:rPr>
              <w:t>33,3%</w:t>
              <w:br/>
              <w:t>[18,5%;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0,898]</w:t>
              <w:br/>
              <w:t>(n = 31)</w:t>
            </w:r>
          </w:p>
        </w:tc>
        <w:tc>
          <w:tcPr>
            <w:tcW w:type="dxa" w:w="1304"/>
          </w:tcPr>
          <w:p>
            <w:pPr>
              <w:spacing w:after="20" w:line="264" w:lineRule="auto"/>
              <w:jc w:val="center"/>
            </w:pPr>
            <w:r/>
            <w:r>
              <w:rPr>
                <w:sz w:val="18"/>
              </w:rPr>
              <w:t>0,725</w:t>
              <w:br/>
              <w:t>[0,630;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[74,3%;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0,544</w:t>
              <w:br/>
              <w:t>[0,463; 0,625]</w:t>
              <w:br/>
              <w:t>(n = 34)</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[0,698; 0,819]</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còn statistical significance sau hiệu chỉnh Holm cho 15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br/>
              <w:t>(p ≈ 0,002; Holm ≈ 0,02)</w:t>
              <w:br/>
              <w:t>(n = 59 cặp)</w:t>
            </w:r>
          </w:p>
        </w:tc>
        <w:tc>
          <w:tcPr>
            <w:tcW w:type="dxa" w:w="1531"/>
          </w:tcPr>
          <w:p>
            <w:pPr>
              <w:spacing w:after="20" w:line="264" w:lineRule="auto"/>
              <w:jc w:val="center"/>
            </w:pPr>
            <w:r/>
            <w:r>
              <w:rPr>
                <w:sz w:val="18"/>
              </w:rPr>
              <w:t>-0,030</w:t>
              <w:br/>
              <w:t>(p ≈ 0,23; Holm ≈ 1,00)</w:t>
              <w:br/>
              <w:t>(n = 51 cặp)</w:t>
            </w:r>
          </w:p>
        </w:tc>
        <w:tc>
          <w:tcPr>
            <w:tcW w:type="dxa" w:w="1531"/>
          </w:tcPr>
          <w:p>
            <w:pPr>
              <w:spacing w:after="20" w:line="264" w:lineRule="auto"/>
              <w:jc w:val="center"/>
            </w:pPr>
            <w:r/>
            <w:r>
              <w:rPr>
                <w:sz w:val="18"/>
              </w:rPr>
              <w:t>-0,003</w:t>
              <w:br/>
              <w:t>(p ≈ 0,92; Holm ≈ 1,00)</w:t>
            </w:r>
          </w:p>
        </w:tc>
        <w:tc>
          <w:tcPr>
            <w:tcW w:type="dxa" w:w="1531"/>
          </w:tcPr>
          <w:p>
            <w:pPr>
              <w:spacing w:after="20" w:line="264" w:lineRule="auto"/>
              <w:jc w:val="center"/>
            </w:pPr>
            <w:r/>
            <w:r>
              <w:rPr>
                <w:sz w:val="18"/>
              </w:rPr>
              <w:t>+9,7 điểm %</w:t>
              <w:br/>
              <w:t>(p ≈ 0,22; Holm ≈ 1,00)</w:t>
            </w:r>
          </w:p>
        </w:tc>
        <w:tc>
          <w:tcPr>
            <w:tcW w:type="dxa" w:w="1474"/>
          </w:tcPr>
          <w:p>
            <w:pPr>
              <w:spacing w:after="20" w:line="264" w:lineRule="auto"/>
              <w:jc w:val="center"/>
            </w:pPr>
            <w:r/>
            <w:r>
              <w:rPr>
                <w:sz w:val="18"/>
              </w:rPr>
              <w:t>-3,2 điểm %</w:t>
              <w:br/>
              <w:t>(p ≈ 0,66; Holm ≈ 1,00)</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-0,063</w:t>
              <w:br/>
              <w:t>(p ≈ 0,35; Holm ≈ 1,00)</w:t>
              <w:br/>
              <w:t>(n = 25 cặp)</w:t>
            </w:r>
          </w:p>
        </w:tc>
        <w:tc>
          <w:tcPr>
            <w:tcW w:type="dxa" w:w="1531"/>
            <w:shd w:val="clear" w:color="auto" w:fill="F0F5FC"/>
          </w:tcPr>
          <w:p>
            <w:pPr>
              <w:spacing w:after="20" w:line="264" w:lineRule="auto"/>
              <w:jc w:val="center"/>
            </w:pPr>
            <w:r/>
            <w:r>
              <w:rPr>
                <w:sz w:val="18"/>
              </w:rPr>
              <w:t>-0,027</w:t>
              <w:br/>
              <w:t>(p ≈ 0,45; Holm ≈ 1,00)</w:t>
              <w:br/>
              <w:t>(n = 22 cặp)</w:t>
            </w:r>
          </w:p>
        </w:tc>
        <w:tc>
          <w:tcPr>
            <w:tcW w:type="dxa" w:w="1531"/>
            <w:shd w:val="clear" w:color="auto" w:fill="F0F5FC"/>
          </w:tcPr>
          <w:p>
            <w:pPr>
              <w:spacing w:after="20" w:line="264" w:lineRule="auto"/>
              <w:jc w:val="center"/>
            </w:pPr>
            <w:r/>
            <w:r>
              <w:rPr>
                <w:sz w:val="18"/>
              </w:rPr>
              <w:t>-0,062</w:t>
              <w:br/>
              <w:t>(p ≈ 0,32; Holm ≈ 1,00)</w:t>
            </w:r>
          </w:p>
        </w:tc>
        <w:tc>
          <w:tcPr>
            <w:tcW w:type="dxa" w:w="1531"/>
            <w:shd w:val="clear" w:color="auto" w:fill="F0F5FC"/>
          </w:tcPr>
          <w:p>
            <w:pPr>
              <w:spacing w:after="20" w:line="264" w:lineRule="auto"/>
              <w:jc w:val="center"/>
            </w:pPr>
            <w:r/>
            <w:r>
              <w:rPr>
                <w:sz w:val="18"/>
              </w:rPr>
              <w:t>+14,8 điểm %</w:t>
              <w:br/>
              <w:t>(p ≈ 0,23; Holm ≈ 1,00)</w:t>
            </w:r>
          </w:p>
        </w:tc>
        <w:tc>
          <w:tcPr>
            <w:tcW w:type="dxa" w:w="1474"/>
            <w:shd w:val="clear" w:color="auto" w:fill="F0F5FC"/>
          </w:tcPr>
          <w:p>
            <w:pPr>
              <w:spacing w:after="20" w:line="264" w:lineRule="auto"/>
              <w:jc w:val="center"/>
            </w:pPr>
            <w:r/>
            <w:r>
              <w:rPr>
                <w:sz w:val="18"/>
              </w:rPr>
              <w:t>-11,1 điểm %</w:t>
              <w:br/>
              <w:t>(p ≈ 0,23; Holm ≈ 1,00)</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-0,176</w:t>
            </w:r>
            <w:r>
              <w:rPr>
                <w:sz w:val="18"/>
              </w:rPr>
              <w:br/>
              <w:t>(p &lt; 0,001; Holm &lt; 0,001)</w:t>
              <w:br/>
              <w:t>(n = 34 cặp)</w:t>
            </w:r>
          </w:p>
        </w:tc>
        <w:tc>
          <w:tcPr>
            <w:tcW w:type="dxa" w:w="1531"/>
          </w:tcPr>
          <w:p>
            <w:pPr>
              <w:spacing w:after="20" w:line="264" w:lineRule="auto"/>
              <w:jc w:val="center"/>
            </w:pPr>
            <w:r/>
            <w:r>
              <w:rPr>
                <w:sz w:val="18"/>
              </w:rPr>
              <w:t>-0,033</w:t>
              <w:br/>
              <w:t>(p ≈ 0,31; Holm ≈ 1,00)</w:t>
              <w:br/>
              <w:t>(n = 29 cặp)</w:t>
            </w:r>
          </w:p>
        </w:tc>
        <w:tc>
          <w:tcPr>
            <w:tcW w:type="dxa" w:w="1531"/>
          </w:tcPr>
          <w:p>
            <w:pPr>
              <w:spacing w:after="20" w:line="264" w:lineRule="auto"/>
              <w:jc w:val="center"/>
            </w:pPr>
            <w:r/>
            <w:r>
              <w:rPr>
                <w:sz w:val="18"/>
              </w:rPr>
              <w:t>+0,043</w:t>
              <w:br/>
              <w:t>(p ≈ 0,49; Holm ≈ 1,00)</w:t>
            </w:r>
          </w:p>
        </w:tc>
        <w:tc>
          <w:tcPr>
            <w:tcW w:type="dxa" w:w="1531"/>
          </w:tcPr>
          <w:p>
            <w:pPr>
              <w:spacing w:after="20" w:line="264" w:lineRule="auto"/>
              <w:jc w:val="center"/>
            </w:pPr>
            <w:r/>
            <w:r>
              <w:rPr>
                <w:sz w:val="18"/>
              </w:rPr>
              <w:t>+5,7 điểm %</w:t>
              <w:br/>
              <w:t>(p ≈ 0,64; Holm ≈ 1,00)</w:t>
            </w:r>
          </w:p>
        </w:tc>
        <w:tc>
          <w:tcPr>
            <w:tcW w:type="dxa" w:w="1474"/>
          </w:tcPr>
          <w:p>
            <w:pPr>
              <w:spacing w:after="20" w:line="264" w:lineRule="auto"/>
              <w:jc w:val="center"/>
            </w:pPr>
            <w:r/>
            <w:r>
              <w:rPr>
                <w:sz w:val="18"/>
              </w:rPr>
              <w:t>+2,9 điểm %</w:t>
              <w:br/>
              <w:t>(p ≈ 0,85; Holm ≈ 1,00)</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(0,50 so với 0,63, p ≈ 0,002). Khác biệt đến từ câu multi-hop (0,54 so với 0,71, p &lt; 0,001); ở câu single-hop không đủ bằng chứng để phân biệt hai hệ (0,45 so với 0,51, chênh lệch −0,063 [−0,197; +0,063], p ≈ 0,35).</w:t>
      </w:r>
    </w:p>
    <w:p>
      <w:pPr>
        <w:ind w:firstLine="567"/>
      </w:pPr>
      <w:r>
        <w:rPr>
          <w:b/>
        </w:rPr>
        <w:t>Generation quality:</w:t>
      </w:r>
      <w:r>
        <w:t xml:space="preserve"> trên toàn bộ câu có đáp án, không paired difference nào có statistical significance: faithfulness 0,85 so với 0,89 (p ≈ 0,23), answer relevancy 0,74 so với 0,74 (p ≈ 0,92), hallucination rate 53% so với 44% (p ≈ 0,22), answer correctness 82% so với 85% (p ≈ 0,66).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ind w:firstLine="567"/>
      </w:pPr>
      <w:r>
        <w:rPr>
          <w:b/>
        </w:rPr>
        <w:t>Tách hallucination khỏi refusal:</w:t>
      </w:r>
      <w:r>
        <w:t xml:space="preserve"> như ở nội dung 1, mỗi câu có đáp án được xếp vào một nhóm kết cục từ các nhãn đã có; hallucination rate và answer correctness được tính lại chỉ trên câu được trả lời.</w:t>
      </w:r>
    </w:p>
    <w:p>
      <w:pPr>
        <w:pStyle w:val="Caption"/>
        <w:keepNext/>
        <w:jc w:val="center"/>
      </w:pPr>
      <w:r>
        <w:t>Bảng 9.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Loại câu hỏi</w:t>
            </w:r>
          </w:p>
        </w:tc>
        <w:tc>
          <w:tcPr>
            <w:tcW w:type="dxa" w:w="107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191"/>
            <w:shd w:val="clear" w:color="auto" w:fill="1C5CAB"/>
          </w:tcPr>
          <w:p>
            <w:pPr>
              <w:spacing w:after="20" w:line="264" w:lineRule="auto"/>
              <w:jc w:val="center"/>
            </w:pPr>
            <w:r/>
            <w:r>
              <w:rPr>
                <w:b/>
                <w:color w:val="FFFFFF"/>
                <w:sz w:val="19"/>
              </w:rPr>
              <w:t>Correctness (câu có trả lời)</w:t>
            </w:r>
          </w:p>
        </w:tc>
      </w:tr>
      <w:tr>
        <w:trPr>
          <w:cantSplit w:val="true"/>
        </w:trPr>
        <w:tc>
          <w:tcPr>
            <w:tcW w:type="dxa" w:w="1191"/>
          </w:tcPr>
          <w:p>
            <w:pPr>
              <w:spacing w:after="20" w:line="264" w:lineRule="auto"/>
              <w:jc w:val="left"/>
            </w:pPr>
            <w:r>
              <w:rPr>
                <w:b/>
              </w:rPr>
            </w:r>
            <w:r>
              <w:rPr>
                <w:b/>
                <w:sz w:val="19"/>
              </w:rPr>
              <w:t>Tất cả câu có đáp án</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28</w:t>
            </w:r>
          </w:p>
        </w:tc>
        <w:tc>
          <w:tcPr>
            <w:tcW w:type="dxa" w:w="964"/>
          </w:tcPr>
          <w:p>
            <w:pPr>
              <w:spacing w:after="20" w:line="264" w:lineRule="auto"/>
              <w:jc w:val="center"/>
            </w:pPr>
            <w:r/>
            <w:r>
              <w:rPr>
                <w:sz w:val="19"/>
              </w:rPr>
              <w:t>25</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6</w:t>
            </w:r>
          </w:p>
        </w:tc>
        <w:tc>
          <w:tcPr>
            <w:tcW w:type="dxa" w:w="1134"/>
          </w:tcPr>
          <w:p>
            <w:pPr>
              <w:spacing w:after="20" w:line="264" w:lineRule="auto"/>
              <w:jc w:val="center"/>
            </w:pPr>
            <w:r/>
            <w:r>
              <w:rPr>
                <w:sz w:val="19"/>
              </w:rPr>
              <w:t>90%</w:t>
            </w:r>
          </w:p>
        </w:tc>
        <w:tc>
          <w:tcPr>
            <w:tcW w:type="dxa" w:w="1417"/>
          </w:tcPr>
          <w:p>
            <w:pPr>
              <w:spacing w:after="20" w:line="264" w:lineRule="auto"/>
              <w:jc w:val="center"/>
            </w:pPr>
            <w:r/>
            <w:r>
              <w:rPr>
                <w:sz w:val="19"/>
              </w:rPr>
              <w:t>48%</w:t>
            </w:r>
          </w:p>
        </w:tc>
        <w:tc>
          <w:tcPr>
            <w:tcW w:type="dxa" w:w="1191"/>
          </w:tcPr>
          <w:p>
            <w:pPr>
              <w:spacing w:after="20" w:line="264" w:lineRule="auto"/>
              <w:jc w:val="center"/>
            </w:pPr>
            <w:r/>
            <w:r>
              <w:rPr>
                <w:sz w:val="19"/>
              </w:rPr>
              <w:t>95%</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21</w:t>
            </w:r>
          </w:p>
        </w:tc>
        <w:tc>
          <w:tcPr>
            <w:tcW w:type="dxa" w:w="964"/>
            <w:shd w:val="clear" w:color="auto" w:fill="F0F5FC"/>
          </w:tcPr>
          <w:p>
            <w:pPr>
              <w:spacing w:after="20" w:line="264" w:lineRule="auto"/>
              <w:jc w:val="center"/>
            </w:pPr>
            <w:r/>
            <w:r>
              <w:rPr>
                <w:sz w:val="19"/>
              </w:rPr>
              <w:t>30</w:t>
            </w:r>
          </w:p>
        </w:tc>
        <w:tc>
          <w:tcPr>
            <w:tcW w:type="dxa" w:w="567"/>
            <w:shd w:val="clear" w:color="auto" w:fill="F0F5FC"/>
          </w:tcPr>
          <w:p>
            <w:pPr>
              <w:spacing w:after="20" w:line="264" w:lineRule="auto"/>
              <w:jc w:val="center"/>
            </w:pPr>
            <w:r/>
            <w:r>
              <w:rPr>
                <w:sz w:val="19"/>
              </w:rPr>
              <w:t>5</w:t>
            </w:r>
          </w:p>
        </w:tc>
        <w:tc>
          <w:tcPr>
            <w:tcW w:type="dxa" w:w="794"/>
            <w:shd w:val="clear" w:color="auto" w:fill="F0F5FC"/>
          </w:tcPr>
          <w:p>
            <w:pPr>
              <w:spacing w:after="20" w:line="264" w:lineRule="auto"/>
              <w:jc w:val="center"/>
            </w:pPr>
            <w:r/>
            <w:r>
              <w:rPr>
                <w:sz w:val="19"/>
              </w:rPr>
              <w:t>6</w:t>
            </w:r>
          </w:p>
        </w:tc>
        <w:tc>
          <w:tcPr>
            <w:tcW w:type="dxa" w:w="1134"/>
            <w:shd w:val="clear" w:color="auto" w:fill="F0F5FC"/>
          </w:tcPr>
          <w:p>
            <w:pPr>
              <w:spacing w:after="20" w:line="264" w:lineRule="auto"/>
              <w:jc w:val="center"/>
            </w:pPr>
            <w:r/>
            <w:r>
              <w:rPr>
                <w:sz w:val="19"/>
              </w:rPr>
              <w:t>90%</w:t>
            </w:r>
          </w:p>
        </w:tc>
        <w:tc>
          <w:tcPr>
            <w:tcW w:type="dxa" w:w="1417"/>
            <w:shd w:val="clear" w:color="auto" w:fill="F0F5FC"/>
          </w:tcPr>
          <w:p>
            <w:pPr>
              <w:spacing w:after="20" w:line="264" w:lineRule="auto"/>
              <w:jc w:val="center"/>
            </w:pPr>
            <w:r/>
            <w:r>
              <w:rPr>
                <w:sz w:val="19"/>
              </w:rPr>
              <w:t>59%</w:t>
            </w:r>
          </w:p>
        </w:tc>
        <w:tc>
          <w:tcPr>
            <w:tcW w:type="dxa" w:w="1191"/>
            <w:shd w:val="clear" w:color="auto" w:fill="F0F5FC"/>
          </w:tcPr>
          <w:p>
            <w:pPr>
              <w:spacing w:after="20" w:line="264" w:lineRule="auto"/>
              <w:jc w:val="center"/>
            </w:pPr>
            <w:r/>
            <w:r>
              <w:rPr>
                <w:sz w:val="19"/>
              </w:rPr>
              <w:t>91%</w:t>
            </w:r>
          </w:p>
        </w:tc>
      </w:tr>
      <w:tr>
        <w:trPr>
          <w:cantSplit w:val="true"/>
        </w:trPr>
        <w:tc>
          <w:tcPr>
            <w:tcW w:type="dxa" w:w="1191"/>
          </w:tcPr>
          <w:p>
            <w:pPr>
              <w:spacing w:after="20" w:line="264" w:lineRule="auto"/>
              <w:jc w:val="left"/>
            </w:pPr>
            <w:r>
              <w:rPr>
                <w:b/>
              </w:rPr>
            </w:r>
            <w:r>
              <w:rPr>
                <w:b/>
                <w:sz w:val="19"/>
              </w:rPr>
              <w:t>Single-hop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19</w:t>
            </w:r>
          </w:p>
        </w:tc>
        <w:tc>
          <w:tcPr>
            <w:tcW w:type="dxa" w:w="964"/>
          </w:tcPr>
          <w:p>
            <w:pPr>
              <w:spacing w:after="20" w:line="264" w:lineRule="auto"/>
              <w:jc w:val="center"/>
            </w:pPr>
            <w:r/>
            <w:r>
              <w:rPr>
                <w:sz w:val="19"/>
              </w:rPr>
              <w:t>4</w:t>
            </w:r>
          </w:p>
        </w:tc>
        <w:tc>
          <w:tcPr>
            <w:tcW w:type="dxa" w:w="567"/>
          </w:tcPr>
          <w:p>
            <w:pPr>
              <w:spacing w:after="20" w:line="264" w:lineRule="auto"/>
              <w:jc w:val="center"/>
            </w:pPr>
            <w:r/>
            <w:r>
              <w:rPr>
                <w:sz w:val="19"/>
              </w:rPr>
              <w:t>2</w:t>
            </w:r>
          </w:p>
        </w:tc>
        <w:tc>
          <w:tcPr>
            <w:tcW w:type="dxa" w:w="794"/>
          </w:tcPr>
          <w:p>
            <w:pPr>
              <w:spacing w:after="20" w:line="264" w:lineRule="auto"/>
              <w:jc w:val="center"/>
            </w:pPr>
            <w:r/>
            <w:r>
              <w:rPr>
                <w:sz w:val="19"/>
              </w:rPr>
              <w:t>2</w:t>
            </w:r>
          </w:p>
        </w:tc>
        <w:tc>
          <w:tcPr>
            <w:tcW w:type="dxa" w:w="1134"/>
          </w:tcPr>
          <w:p>
            <w:pPr>
              <w:spacing w:after="20" w:line="264" w:lineRule="auto"/>
              <w:jc w:val="center"/>
            </w:pPr>
            <w:r/>
            <w:r>
              <w:rPr>
                <w:sz w:val="19"/>
              </w:rPr>
              <w:t>93%</w:t>
            </w:r>
          </w:p>
        </w:tc>
        <w:tc>
          <w:tcPr>
            <w:tcW w:type="dxa" w:w="1417"/>
          </w:tcPr>
          <w:p>
            <w:pPr>
              <w:spacing w:after="20" w:line="264" w:lineRule="auto"/>
              <w:jc w:val="center"/>
            </w:pPr>
            <w:r/>
            <w:r>
              <w:rPr>
                <w:sz w:val="19"/>
              </w:rPr>
              <w:t>20%</w:t>
            </w:r>
          </w:p>
        </w:tc>
        <w:tc>
          <w:tcPr>
            <w:tcW w:type="dxa" w:w="1191"/>
          </w:tcPr>
          <w:p>
            <w:pPr>
              <w:spacing w:after="20" w:line="264" w:lineRule="auto"/>
              <w:jc w:val="center"/>
            </w:pPr>
            <w:r/>
            <w:r>
              <w:rPr>
                <w:sz w:val="19"/>
              </w:rPr>
              <w:t>92%</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8</w:t>
            </w:r>
          </w:p>
        </w:tc>
        <w:tc>
          <w:tcPr>
            <w:tcW w:type="dxa" w:w="567"/>
            <w:shd w:val="clear" w:color="auto" w:fill="F0F5FC"/>
          </w:tcPr>
          <w:p>
            <w:pPr>
              <w:spacing w:after="20" w:line="264" w:lineRule="auto"/>
              <w:jc w:val="center"/>
            </w:pPr>
            <w:r/>
            <w:r>
              <w:rPr>
                <w:sz w:val="19"/>
              </w:rPr>
              <w:t>3</w:t>
            </w:r>
          </w:p>
        </w:tc>
        <w:tc>
          <w:tcPr>
            <w:tcW w:type="dxa" w:w="794"/>
            <w:shd w:val="clear" w:color="auto" w:fill="F0F5FC"/>
          </w:tcPr>
          <w:p>
            <w:pPr>
              <w:spacing w:after="20" w:line="264" w:lineRule="auto"/>
              <w:jc w:val="center"/>
            </w:pPr>
            <w:r/>
            <w:r>
              <w:rPr>
                <w:sz w:val="19"/>
              </w:rPr>
              <w:t>4</w:t>
            </w:r>
          </w:p>
        </w:tc>
        <w:tc>
          <w:tcPr>
            <w:tcW w:type="dxa" w:w="1134"/>
            <w:shd w:val="clear" w:color="auto" w:fill="F0F5FC"/>
          </w:tcPr>
          <w:p>
            <w:pPr>
              <w:spacing w:after="20" w:line="264" w:lineRule="auto"/>
              <w:jc w:val="center"/>
            </w:pPr>
            <w:r/>
            <w:r>
              <w:rPr>
                <w:sz w:val="19"/>
              </w:rPr>
              <w:t>85%</w:t>
            </w:r>
          </w:p>
        </w:tc>
        <w:tc>
          <w:tcPr>
            <w:tcW w:type="dxa" w:w="1417"/>
            <w:shd w:val="clear" w:color="auto" w:fill="F0F5FC"/>
          </w:tcPr>
          <w:p>
            <w:pPr>
              <w:spacing w:after="20" w:line="264" w:lineRule="auto"/>
              <w:jc w:val="center"/>
            </w:pPr>
            <w:r/>
            <w:r>
              <w:rPr>
                <w:sz w:val="19"/>
              </w:rPr>
              <w:t>39%</w:t>
            </w:r>
          </w:p>
        </w:tc>
        <w:tc>
          <w:tcPr>
            <w:tcW w:type="dxa" w:w="1191"/>
            <w:shd w:val="clear" w:color="auto" w:fill="F0F5FC"/>
          </w:tcPr>
          <w:p>
            <w:pPr>
              <w:spacing w:after="20" w:line="264" w:lineRule="auto"/>
              <w:jc w:val="center"/>
            </w:pPr>
            <w:r/>
            <w:r>
              <w:rPr>
                <w:sz w:val="19"/>
              </w:rPr>
              <w:t>87%</w:t>
            </w:r>
          </w:p>
        </w:tc>
      </w:tr>
      <w:tr>
        <w:trPr>
          <w:cantSplit w:val="true"/>
        </w:trPr>
        <w:tc>
          <w:tcPr>
            <w:tcW w:type="dxa" w:w="1191"/>
          </w:tcPr>
          <w:p>
            <w:pPr>
              <w:spacing w:after="20" w:line="264" w:lineRule="auto"/>
              <w:jc w:val="left"/>
            </w:pPr>
            <w:r>
              <w:rPr>
                <w:b/>
              </w:rPr>
            </w:r>
            <w:r>
              <w:rPr>
                <w:b/>
                <w:sz w:val="19"/>
              </w:rPr>
              <w:t>Multi-hop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9</w:t>
            </w:r>
          </w:p>
        </w:tc>
        <w:tc>
          <w:tcPr>
            <w:tcW w:type="dxa" w:w="964"/>
          </w:tcPr>
          <w:p>
            <w:pPr>
              <w:spacing w:after="20" w:line="264" w:lineRule="auto"/>
              <w:jc w:val="center"/>
            </w:pPr>
            <w:r/>
            <w:r>
              <w:rPr>
                <w:sz w:val="19"/>
              </w:rPr>
              <w:t>21</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4</w:t>
            </w:r>
          </w:p>
        </w:tc>
        <w:tc>
          <w:tcPr>
            <w:tcW w:type="dxa" w:w="1134"/>
          </w:tcPr>
          <w:p>
            <w:pPr>
              <w:spacing w:after="20" w:line="264" w:lineRule="auto"/>
              <w:jc w:val="center"/>
            </w:pPr>
            <w:r/>
            <w:r>
              <w:rPr>
                <w:sz w:val="19"/>
              </w:rPr>
              <w:t>89%</w:t>
            </w:r>
          </w:p>
        </w:tc>
        <w:tc>
          <w:tcPr>
            <w:tcW w:type="dxa" w:w="1417"/>
          </w:tcPr>
          <w:p>
            <w:pPr>
              <w:spacing w:after="20" w:line="264" w:lineRule="auto"/>
              <w:jc w:val="center"/>
            </w:pPr>
            <w:r/>
            <w:r>
              <w:rPr>
                <w:sz w:val="19"/>
              </w:rPr>
              <w:t>71%</w:t>
            </w:r>
          </w:p>
        </w:tc>
        <w:tc>
          <w:tcPr>
            <w:tcW w:type="dxa" w:w="1191"/>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9</w:t>
            </w:r>
          </w:p>
        </w:tc>
        <w:tc>
          <w:tcPr>
            <w:tcW w:type="dxa" w:w="964"/>
            <w:shd w:val="clear" w:color="auto" w:fill="F0F5FC"/>
          </w:tcPr>
          <w:p>
            <w:pPr>
              <w:spacing w:after="20" w:line="264" w:lineRule="auto"/>
              <w:jc w:val="center"/>
            </w:pPr>
            <w:r/>
            <w:r>
              <w:rPr>
                <w:sz w:val="19"/>
              </w:rPr>
              <w:t>22</w:t>
            </w:r>
          </w:p>
        </w:tc>
        <w:tc>
          <w:tcPr>
            <w:tcW w:type="dxa" w:w="567"/>
            <w:shd w:val="clear" w:color="auto" w:fill="F0F5FC"/>
          </w:tcPr>
          <w:p>
            <w:pPr>
              <w:spacing w:after="20" w:line="264" w:lineRule="auto"/>
              <w:jc w:val="center"/>
            </w:pPr>
            <w:r/>
            <w:r>
              <w:rPr>
                <w:sz w:val="19"/>
              </w:rPr>
              <w:t>2</w:t>
            </w:r>
          </w:p>
        </w:tc>
        <w:tc>
          <w:tcPr>
            <w:tcW w:type="dxa" w:w="794"/>
            <w:shd w:val="clear" w:color="auto" w:fill="F0F5FC"/>
          </w:tcPr>
          <w:p>
            <w:pPr>
              <w:spacing w:after="20" w:line="264" w:lineRule="auto"/>
              <w:jc w:val="center"/>
            </w:pPr>
            <w:r/>
            <w:r>
              <w:rPr>
                <w:sz w:val="19"/>
              </w:rPr>
              <w:t>2</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73%</w:t>
            </w:r>
          </w:p>
        </w:tc>
        <w:tc>
          <w:tcPr>
            <w:tcW w:type="dxa" w:w="1191"/>
            <w:shd w:val="clear" w:color="auto" w:fill="F0F5FC"/>
          </w:tcPr>
          <w:p>
            <w:pPr>
              <w:spacing w:after="20" w:line="264" w:lineRule="auto"/>
              <w:jc w:val="center"/>
            </w:pPr>
            <w:r/>
            <w:r>
              <w:rPr>
                <w:sz w:val="19"/>
              </w:rPr>
              <w:t>94%</w:t>
            </w:r>
          </w:p>
        </w:tc>
      </w:tr>
    </w:tbl>
    <w:p>
      <w:pPr>
        <w:spacing w:after="40"/>
      </w:pPr>
    </w:p>
    <w:p>
      <w:pPr>
        <w:ind w:firstLine="567"/>
      </w:pPr>
      <w:r>
        <w:t>Hai hệ có cùng coverage trên toàn bộ câu có đáp án (90%), nên ở nội dung 2 refusal không làm lệch so sánh hallucination như ở nội dung 1. Số câu đúng và mọi claim có căn cứ của GraphRAG ít hơn (21 so với 28), chủ yếu ở câu single-hop, cùng hướng với hallucination rate cao hơn ở Bảng 7 nhưng chưa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34%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(15,3 so với 10,9 giây mỗi câu) vì context dài hơn; bản thân bước truy xuất trên KG không gọi LLM.</w:t>
      </w:r>
    </w:p>
    <w:p>
      <w:pPr>
        <w:ind w:firstLine="567"/>
      </w:pPr>
      <w:r>
        <w:rPr>
          <w:b/>
        </w:rPr>
        <w:t>Theo nhóm bài nguồn:</w:t>
      </w:r>
      <w:r>
        <w:t xml:space="preserve"> 7/30 bài là bài bổ sung (bài gốc của các khái niệm mà 23 bài còn lại nhắc nhiều nhất, mục 3), nên tập 30 bài không phải mẫu ngẫu nhiên và các bài bổ sung có thể làm KG liên kết tốt hơn. Tách theo nhóm: ở 52 câu chỉ dùng 23 bài thuộc corpus ban đầu, retrieval precision của GraphRAG vẫn thấp hơn Vector RAG (0,50 so với 0,66, chênh lệch −0,165 [−0,247; −0,085], n = 49 cặp) và tỉ lệ lấy được gold chunk là 38% so với 67%; ở 10 câu có bài nguồn thuộc 7 bài bổ sung, tỉ lệ lấy được gold chunk là 40% so với 75% (quá ít câu để kiểm định). Như vậy kết luận về truy xuất không đến từ các bài bổ sung, và GraphRAG cũng không truy xuất tốt hơn ở nhóm bài kinh điển này.</w:t>
      </w:r>
    </w:p>
    <w:p>
      <w:pPr>
        <w:pStyle w:val="Caption"/>
        <w:keepNext/>
        <w:jc w:val="center"/>
      </w:pPr>
      <w:r>
        <w:t>Bảng 10. Chỉ số truy xuất theo thứ hạng, không qua judge (gold chunk = đoạn dùng để sinh câu hỏi)</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Loại câu hỏi</w:t>
            </w:r>
          </w:p>
        </w:tc>
        <w:tc>
          <w:tcPr>
            <w:tcW w:type="dxa" w:w="1361"/>
            <w:shd w:val="clear" w:color="auto" w:fill="1C5CAB"/>
          </w:tcPr>
          <w:p>
            <w:pPr>
              <w:spacing w:after="20" w:line="264" w:lineRule="auto"/>
              <w:jc w:val="center"/>
            </w:pPr>
            <w:r/>
            <w:r>
              <w:rPr>
                <w:b/>
                <w:color w:val="FFFFFF"/>
                <w:sz w:val="20"/>
              </w:rPr>
              <w:t>Hệ thống</w:t>
            </w:r>
          </w:p>
        </w:tc>
        <w:tc>
          <w:tcPr>
            <w:tcW w:type="dxa" w:w="1247"/>
            <w:shd w:val="clear" w:color="auto" w:fill="1C5CAB"/>
          </w:tcPr>
          <w:p>
            <w:pPr>
              <w:spacing w:after="20" w:line="264" w:lineRule="auto"/>
              <w:jc w:val="center"/>
            </w:pPr>
            <w:r/>
            <w:r>
              <w:rPr>
                <w:b/>
                <w:color w:val="FFFFFF"/>
                <w:sz w:val="20"/>
              </w:rPr>
              <w:t>Gold chunk trong top-4</w:t>
            </w:r>
          </w:p>
        </w:tc>
        <w:tc>
          <w:tcPr>
            <w:tcW w:type="dxa" w:w="1134"/>
            <w:shd w:val="clear" w:color="auto" w:fill="1C5CAB"/>
          </w:tcPr>
          <w:p>
            <w:pPr>
              <w:spacing w:after="20" w:line="264" w:lineRule="auto"/>
              <w:jc w:val="center"/>
            </w:pPr>
            <w:r/>
            <w:r>
              <w:rPr>
                <w:b/>
                <w:color w:val="FFFFFF"/>
                <w:sz w:val="20"/>
              </w:rPr>
              <w:t>Recall gold chunk</w:t>
            </w:r>
          </w:p>
        </w:tc>
        <w:tc>
          <w:tcPr>
            <w:tcW w:type="dxa" w:w="794"/>
            <w:shd w:val="clear" w:color="auto" w:fill="1C5CAB"/>
          </w:tcPr>
          <w:p>
            <w:pPr>
              <w:spacing w:after="20" w:line="264" w:lineRule="auto"/>
              <w:jc w:val="center"/>
            </w:pPr>
            <w:r/>
            <w:r>
              <w:rPr>
                <w:b/>
                <w:color w:val="FFFFFF"/>
                <w:sz w:val="20"/>
              </w:rPr>
              <w:t>MRR</w:t>
            </w:r>
          </w:p>
        </w:tc>
        <w:tc>
          <w:tcPr>
            <w:tcW w:type="dxa" w:w="907"/>
            <w:shd w:val="clear" w:color="auto" w:fill="1C5CAB"/>
          </w:tcPr>
          <w:p>
            <w:pPr>
              <w:spacing w:after="20" w:line="264" w:lineRule="auto"/>
              <w:jc w:val="center"/>
            </w:pPr>
            <w:r/>
            <w:r>
              <w:rPr>
                <w:b/>
                <w:color w:val="FFFFFF"/>
                <w:sz w:val="20"/>
              </w:rPr>
              <w:t>nDCG@4</w:t>
            </w:r>
          </w:p>
        </w:tc>
        <w:tc>
          <w:tcPr>
            <w:tcW w:type="dxa" w:w="1134"/>
            <w:shd w:val="clear" w:color="auto" w:fill="1C5CAB"/>
          </w:tcPr>
          <w:p>
            <w:pPr>
              <w:spacing w:after="20" w:line="264" w:lineRule="auto"/>
              <w:jc w:val="center"/>
            </w:pPr>
            <w:r/>
            <w:r>
              <w:rPr>
                <w:b/>
                <w:color w:val="FFFFFF"/>
                <w:sz w:val="20"/>
              </w:rPr>
              <w:t>Đủ bài nguồn</w:t>
            </w:r>
          </w:p>
        </w:tc>
      </w:tr>
      <w:tr>
        <w:trPr>
          <w:cantSplit w:val="true"/>
        </w:trPr>
        <w:tc>
          <w:tcPr>
            <w:tcW w:type="dxa" w:w="1474"/>
          </w:tcPr>
          <w:p>
            <w:pPr>
              <w:spacing w:after="20" w:line="264" w:lineRule="auto"/>
              <w:jc w:val="left"/>
            </w:pPr>
            <w:r>
              <w:rPr>
                <w:b/>
              </w:rPr>
            </w:r>
            <w:r>
              <w:rPr>
                <w:b/>
                <w:sz w:val="20"/>
              </w:rPr>
              <w:t>Single-hop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78%</w:t>
            </w:r>
          </w:p>
        </w:tc>
        <w:tc>
          <w:tcPr>
            <w:tcW w:type="dxa" w:w="1134"/>
          </w:tcPr>
          <w:p>
            <w:pPr>
              <w:spacing w:after="20" w:line="264" w:lineRule="auto"/>
              <w:jc w:val="center"/>
            </w:pPr>
            <w:r/>
            <w:r>
              <w:rPr>
                <w:sz w:val="20"/>
              </w:rPr>
              <w:t>78%</w:t>
            </w:r>
          </w:p>
        </w:tc>
        <w:tc>
          <w:tcPr>
            <w:tcW w:type="dxa" w:w="794"/>
          </w:tcPr>
          <w:p>
            <w:pPr>
              <w:spacing w:after="20" w:line="264" w:lineRule="auto"/>
              <w:jc w:val="center"/>
            </w:pPr>
            <w:r/>
            <w:r>
              <w:rPr>
                <w:sz w:val="20"/>
              </w:rPr>
              <w:t>0,60</w:t>
            </w:r>
          </w:p>
        </w:tc>
        <w:tc>
          <w:tcPr>
            <w:tcW w:type="dxa" w:w="907"/>
          </w:tcPr>
          <w:p>
            <w:pPr>
              <w:spacing w:after="20" w:line="264" w:lineRule="auto"/>
              <w:jc w:val="center"/>
            </w:pPr>
            <w:r/>
            <w:r>
              <w:rPr>
                <w:sz w:val="20"/>
              </w:rPr>
              <w:t>0,64</w:t>
            </w:r>
          </w:p>
        </w:tc>
        <w:tc>
          <w:tcPr>
            <w:tcW w:type="dxa" w:w="1134"/>
          </w:tcPr>
          <w:p>
            <w:pPr>
              <w:spacing w:after="20" w:line="264" w:lineRule="auto"/>
              <w:jc w:val="center"/>
            </w:pPr>
            <w:r/>
            <w:r>
              <w:rPr>
                <w:sz w:val="20"/>
              </w:rPr>
              <w:t>93%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44%</w:t>
            </w:r>
          </w:p>
        </w:tc>
        <w:tc>
          <w:tcPr>
            <w:tcW w:type="dxa" w:w="1134"/>
            <w:shd w:val="clear" w:color="auto" w:fill="F0F5FC"/>
          </w:tcPr>
          <w:p>
            <w:pPr>
              <w:spacing w:after="20" w:line="264" w:lineRule="auto"/>
              <w:jc w:val="center"/>
            </w:pPr>
            <w:r/>
            <w:r>
              <w:rPr>
                <w:sz w:val="20"/>
              </w:rPr>
              <w:t>44%</w:t>
            </w:r>
          </w:p>
        </w:tc>
        <w:tc>
          <w:tcPr>
            <w:tcW w:type="dxa" w:w="794"/>
            <w:shd w:val="clear" w:color="auto" w:fill="F0F5FC"/>
          </w:tcPr>
          <w:p>
            <w:pPr>
              <w:spacing w:after="20" w:line="264" w:lineRule="auto"/>
              <w:jc w:val="center"/>
            </w:pPr>
            <w:r/>
            <w:r>
              <w:rPr>
                <w:sz w:val="20"/>
              </w:rPr>
              <w:t>0,40</w:t>
            </w:r>
          </w:p>
        </w:tc>
        <w:tc>
          <w:tcPr>
            <w:tcW w:type="dxa" w:w="907"/>
            <w:shd w:val="clear" w:color="auto" w:fill="F0F5FC"/>
          </w:tcPr>
          <w:p>
            <w:pPr>
              <w:spacing w:after="20" w:line="264" w:lineRule="auto"/>
              <w:jc w:val="center"/>
            </w:pPr>
            <w:r/>
            <w:r>
              <w:rPr>
                <w:sz w:val="20"/>
              </w:rPr>
              <w:t>0,41</w:t>
            </w:r>
          </w:p>
        </w:tc>
        <w:tc>
          <w:tcPr>
            <w:tcW w:type="dxa" w:w="1134"/>
            <w:shd w:val="clear" w:color="auto" w:fill="F0F5FC"/>
          </w:tcPr>
          <w:p>
            <w:pPr>
              <w:spacing w:after="20" w:line="264" w:lineRule="auto"/>
              <w:jc w:val="center"/>
            </w:pPr>
            <w:r/>
            <w:r>
              <w:rPr>
                <w:sz w:val="20"/>
              </w:rPr>
              <w:t>78%</w:t>
            </w:r>
          </w:p>
        </w:tc>
      </w:tr>
      <w:tr>
        <w:trPr>
          <w:cantSplit w:val="true"/>
        </w:trPr>
        <w:tc>
          <w:tcPr>
            <w:tcW w:type="dxa" w:w="1474"/>
          </w:tcPr>
          <w:p>
            <w:pPr>
              <w:spacing w:after="20" w:line="264" w:lineRule="auto"/>
              <w:jc w:val="left"/>
            </w:pPr>
            <w:r>
              <w:rPr>
                <w:b/>
              </w:rPr>
            </w:r>
            <w:r>
              <w:rPr>
                <w:b/>
                <w:sz w:val="20"/>
              </w:rPr>
              <w:t>Multi-hop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80%</w:t>
            </w:r>
          </w:p>
        </w:tc>
        <w:tc>
          <w:tcPr>
            <w:tcW w:type="dxa" w:w="1134"/>
          </w:tcPr>
          <w:p>
            <w:pPr>
              <w:spacing w:after="20" w:line="264" w:lineRule="auto"/>
              <w:jc w:val="center"/>
            </w:pPr>
            <w:r/>
            <w:r>
              <w:rPr>
                <w:sz w:val="20"/>
              </w:rPr>
              <w:t>61%</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0,53</w:t>
            </w:r>
          </w:p>
        </w:tc>
        <w:tc>
          <w:tcPr>
            <w:tcW w:type="dxa" w:w="1134"/>
          </w:tcPr>
          <w:p>
            <w:pPr>
              <w:spacing w:after="20" w:line="264" w:lineRule="auto"/>
              <w:jc w:val="center"/>
            </w:pPr>
            <w:r/>
            <w:r>
              <w:rPr>
                <w:sz w:val="20"/>
              </w:rPr>
              <w:t>63%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63%</w:t>
            </w:r>
          </w:p>
        </w:tc>
        <w:tc>
          <w:tcPr>
            <w:tcW w:type="dxa" w:w="1134"/>
            <w:shd w:val="clear" w:color="auto" w:fill="F0F5FC"/>
          </w:tcPr>
          <w:p>
            <w:pPr>
              <w:spacing w:after="20" w:line="264" w:lineRule="auto"/>
              <w:jc w:val="center"/>
            </w:pPr>
            <w:r/>
            <w:r>
              <w:rPr>
                <w:sz w:val="20"/>
              </w:rPr>
              <w:t>34%</w:t>
            </w:r>
          </w:p>
        </w:tc>
        <w:tc>
          <w:tcPr>
            <w:tcW w:type="dxa" w:w="794"/>
            <w:shd w:val="clear" w:color="auto" w:fill="F0F5FC"/>
          </w:tcPr>
          <w:p>
            <w:pPr>
              <w:spacing w:after="20" w:line="264" w:lineRule="auto"/>
              <w:jc w:val="center"/>
            </w:pPr>
            <w:r/>
            <w:r>
              <w:rPr>
                <w:sz w:val="20"/>
              </w:rPr>
              <w:t>0,42</w:t>
            </w:r>
          </w:p>
        </w:tc>
        <w:tc>
          <w:tcPr>
            <w:tcW w:type="dxa" w:w="907"/>
            <w:shd w:val="clear" w:color="auto" w:fill="F0F5FC"/>
          </w:tcPr>
          <w:p>
            <w:pPr>
              <w:spacing w:after="20" w:line="264" w:lineRule="auto"/>
              <w:jc w:val="center"/>
            </w:pPr>
            <w:r/>
            <w:r>
              <w:rPr>
                <w:sz w:val="20"/>
              </w:rPr>
              <w:t>0,31</w:t>
            </w:r>
          </w:p>
        </w:tc>
        <w:tc>
          <w:tcPr>
            <w:tcW w:type="dxa" w:w="1134"/>
            <w:shd w:val="clear" w:color="auto" w:fill="F0F5FC"/>
          </w:tcPr>
          <w:p>
            <w:pPr>
              <w:spacing w:after="20" w:line="264" w:lineRule="auto"/>
              <w:jc w:val="center"/>
            </w:pPr>
            <w:r/>
            <w:r>
              <w:rPr>
                <w:sz w:val="20"/>
              </w:rPr>
              <w:t>31%</w:t>
            </w:r>
          </w:p>
        </w:tc>
      </w:tr>
      <w:tr>
        <w:trPr>
          <w:cantSplit w:val="true"/>
        </w:trPr>
        <w:tc>
          <w:tcPr>
            <w:tcW w:type="dxa" w:w="1474"/>
          </w:tcPr>
          <w:p>
            <w:pPr>
              <w:spacing w:after="20" w:line="264" w:lineRule="auto"/>
              <w:jc w:val="left"/>
            </w:pPr>
            <w:r>
              <w:rPr>
                <w:b/>
              </w:rPr>
            </w:r>
            <w:r>
              <w:rPr>
                <w:b/>
                <w:sz w:val="20"/>
              </w:rPr>
              <w:t>Tất cả câu có đáp án</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79%</w:t>
            </w:r>
          </w:p>
        </w:tc>
        <w:tc>
          <w:tcPr>
            <w:tcW w:type="dxa" w:w="1134"/>
          </w:tcPr>
          <w:p>
            <w:pPr>
              <w:spacing w:after="20" w:line="264" w:lineRule="auto"/>
              <w:jc w:val="center"/>
            </w:pPr>
            <w:r/>
            <w:r>
              <w:rPr>
                <w:sz w:val="20"/>
              </w:rPr>
              <w:t>69%</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0,58</w:t>
            </w:r>
          </w:p>
        </w:tc>
        <w:tc>
          <w:tcPr>
            <w:tcW w:type="dxa" w:w="1134"/>
          </w:tcPr>
          <w:p>
            <w:pPr>
              <w:spacing w:after="20" w:line="264" w:lineRule="auto"/>
              <w:jc w:val="center"/>
            </w:pPr>
            <w:r/>
            <w:r>
              <w:rPr>
                <w:sz w:val="20"/>
              </w:rPr>
              <w:t>76%</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55%</w:t>
            </w:r>
          </w:p>
        </w:tc>
        <w:tc>
          <w:tcPr>
            <w:tcW w:type="dxa" w:w="1134"/>
            <w:shd w:val="clear" w:color="auto" w:fill="F0F5FC"/>
          </w:tcPr>
          <w:p>
            <w:pPr>
              <w:spacing w:after="20" w:line="264" w:lineRule="auto"/>
              <w:jc w:val="center"/>
            </w:pPr>
            <w:r/>
            <w:r>
              <w:rPr>
                <w:sz w:val="20"/>
              </w:rPr>
              <w:t>39%</w:t>
            </w:r>
          </w:p>
        </w:tc>
        <w:tc>
          <w:tcPr>
            <w:tcW w:type="dxa" w:w="794"/>
            <w:shd w:val="clear" w:color="auto" w:fill="F0F5FC"/>
          </w:tcPr>
          <w:p>
            <w:pPr>
              <w:spacing w:after="20" w:line="264" w:lineRule="auto"/>
              <w:jc w:val="center"/>
            </w:pPr>
            <w:r/>
            <w:r>
              <w:rPr>
                <w:sz w:val="20"/>
              </w:rPr>
              <w:t>0,41</w:t>
            </w:r>
          </w:p>
        </w:tc>
        <w:tc>
          <w:tcPr>
            <w:tcW w:type="dxa" w:w="907"/>
            <w:shd w:val="clear" w:color="auto" w:fill="F0F5FC"/>
          </w:tcPr>
          <w:p>
            <w:pPr>
              <w:spacing w:after="20" w:line="264" w:lineRule="auto"/>
              <w:jc w:val="center"/>
            </w:pPr>
            <w:r/>
            <w:r>
              <w:rPr>
                <w:sz w:val="20"/>
              </w:rPr>
              <w:t>0,35</w:t>
            </w:r>
          </w:p>
        </w:tc>
        <w:tc>
          <w:tcPr>
            <w:tcW w:type="dxa" w:w="1134"/>
            <w:shd w:val="clear" w:color="auto" w:fill="F0F5FC"/>
          </w:tcPr>
          <w:p>
            <w:pPr>
              <w:spacing w:after="20" w:line="264" w:lineRule="auto"/>
              <w:jc w:val="center"/>
            </w:pPr>
            <w:r/>
            <w:r>
              <w:rPr>
                <w:sz w:val="20"/>
              </w:rPr>
              <w:t>52%</w:t>
            </w:r>
          </w:p>
        </w:tc>
      </w:tr>
    </w:tbl>
    <w:p>
      <w:pPr>
        <w:spacing w:after="40"/>
      </w:pPr>
    </w:p>
    <w:p>
      <w:pPr>
        <w:ind w:firstLine="567"/>
      </w:pPr>
      <w:r>
        <w:t>Các chỉ số này không cần judge nên không bị ảnh hưởng bởi sai lệch của judge ở bước chấm passage (mục 8.5). GraphRAG kém hơn ở mọi chỉ số, rõ nhất ở câu multi-hop (MRR 0,42 so với 0,58): kết luận GraphRAG truy xuất kém hơn không phụ thuộc vào judge. Gold chunk chỉ là một đoạn nên đây là cận dưới; đoạn khác cũng có thể chứa đáp án.</w:t>
      </w:r>
    </w:p>
    <w:p>
      <w:pPr>
        <w:pStyle w:val="Heading2"/>
      </w:pPr>
      <w:r>
        <w:t>8.4. Độ tin cậy của judge: lỗi, thử lại và các lần chấm</w:t>
      </w:r>
    </w:p>
    <w:p>
      <w:pPr>
        <w:ind w:firstLine="567"/>
      </w:pPr>
      <w:r>
        <w:t xml:space="preserve">Mọi lần gọi judge được ghi log (trạng thái, số verdict thiếu, </w:t>
      </w:r>
      <w:r>
        <w:rPr>
          <w:rFonts w:ascii="Consolas" w:hAnsi="Consolas"/>
        </w:rPr>
        <w:t>prompt_eval_count</w:t>
      </w:r>
      <w:r>
        <w:t>). Trong 2.871 lần gọi, 75 lần không trả đủ verdict hợp lệ (JSON hỏng, Ollama huỷ lần sinh do lặp token, hoặc thiếu verdict) và được thử lại với seed khác (57 lần thử lại); sau khi thử lại còn 18 lần thiếu verdict, các passage hoặc claim đó bị loại khỏi mẫu số thay vì bị tính là "không hữu ích" / "không được hỗ trợ". Prompt dài nhất 2.163 token, num_ctx = 4.096; không prompt nào bị truncate (Ollama truncate prompt dài hơn num_ctx mà không báo lỗi, chỉ giữ đúng 2.050 token, nên mọi lần gọi đều được kiểm tra dấu hiệu này).</w:t>
      </w:r>
    </w:p>
    <w:p>
      <w:pPr>
        <w:pStyle w:val="Caption"/>
        <w:keepNext/>
        <w:jc w:val="center"/>
      </w:pPr>
      <w:r>
        <w:t>Bảng 11. Độ nhất quán giữa 3 lần chấm của judge (cùng câu trả lời, cùng cách chấm)</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701"/>
            <w:shd w:val="clear" w:color="auto" w:fill="1C5CAB"/>
          </w:tcPr>
          <w:p>
            <w:pPr>
              <w:spacing w:after="20" w:line="264" w:lineRule="auto"/>
              <w:jc w:val="center"/>
            </w:pPr>
            <w:r/>
            <w:r>
              <w:rPr>
                <w:b/>
                <w:color w:val="FFFFFF"/>
                <w:sz w:val="21"/>
              </w:rPr>
              <w:t>Hệ thống</w:t>
            </w:r>
          </w:p>
        </w:tc>
        <w:tc>
          <w:tcPr>
            <w:tcW w:type="dxa" w:w="2041"/>
            <w:shd w:val="clear" w:color="auto" w:fill="1C5CAB"/>
          </w:tcPr>
          <w:p>
            <w:pPr>
              <w:spacing w:after="20" w:line="264" w:lineRule="auto"/>
              <w:jc w:val="center"/>
            </w:pPr>
            <w:r/>
            <w:r>
              <w:rPr>
                <w:b/>
                <w:color w:val="FFFFFF"/>
                <w:sz w:val="21"/>
              </w:rPr>
              <w:t>Chỉ số</w:t>
            </w:r>
          </w:p>
        </w:tc>
        <w:tc>
          <w:tcPr>
            <w:tcW w:type="dxa" w:w="907"/>
            <w:shd w:val="clear" w:color="auto" w:fill="1C5CAB"/>
          </w:tcPr>
          <w:p>
            <w:pPr>
              <w:spacing w:after="20" w:line="264" w:lineRule="auto"/>
              <w:jc w:val="center"/>
            </w:pPr>
            <w:r/>
            <w:r>
              <w:rPr>
                <w:b/>
                <w:color w:val="FFFFFF"/>
                <w:sz w:val="21"/>
              </w:rPr>
              <w:t>Số câu</w:t>
            </w:r>
          </w:p>
        </w:tc>
        <w:tc>
          <w:tcPr>
            <w:tcW w:type="dxa" w:w="1928"/>
            <w:shd w:val="clear" w:color="auto" w:fill="1C5CAB"/>
          </w:tcPr>
          <w:p>
            <w:pPr>
              <w:spacing w:after="20" w:line="264" w:lineRule="auto"/>
              <w:jc w:val="center"/>
            </w:pPr>
            <w:r/>
            <w:r>
              <w:rPr>
                <w:b/>
                <w:color w:val="FFFFFF"/>
                <w:sz w:val="21"/>
              </w:rPr>
              <w:t>Trùng ở mọi lần</w:t>
            </w:r>
          </w:p>
        </w:tc>
        <w:tc>
          <w:tcPr>
            <w:tcW w:type="dxa" w:w="2494"/>
            <w:shd w:val="clear" w:color="auto" w:fill="1C5CAB"/>
          </w:tcPr>
          <w:p>
            <w:pPr>
              <w:spacing w:after="20" w:line="264" w:lineRule="auto"/>
              <w:jc w:val="center"/>
            </w:pPr>
            <w:r/>
            <w:r>
              <w:rPr>
                <w:b/>
                <w:color w:val="FFFFFF"/>
                <w:sz w:val="21"/>
              </w:rPr>
              <w:t>Sai khác tuyệt đối trung bình</w:t>
            </w:r>
          </w:p>
        </w:tc>
      </w:tr>
      <w:tr>
        <w:trPr>
          <w:cantSplit w:val="true"/>
        </w:trPr>
        <w:tc>
          <w:tcPr>
            <w:tcW w:type="dxa" w:w="1701"/>
          </w:tcPr>
          <w:p>
            <w:pPr>
              <w:spacing w:after="20" w:line="264" w:lineRule="auto"/>
              <w:jc w:val="left"/>
            </w:pPr>
            <w:r>
              <w:rPr>
                <w:b/>
              </w:rPr>
            </w:r>
            <w:r>
              <w:rPr>
                <w:b/>
                <w:sz w:val="21"/>
              </w:rPr>
              <w:t>Vector RAG</w:t>
            </w:r>
          </w:p>
        </w:tc>
        <w:tc>
          <w:tcPr>
            <w:tcW w:type="dxa" w:w="2041"/>
          </w:tcPr>
          <w:p>
            <w:pPr>
              <w:spacing w:after="20" w:line="264" w:lineRule="auto"/>
              <w:jc w:val="left"/>
            </w:pPr>
            <w:r/>
            <w:r>
              <w:rPr>
                <w:sz w:val="21"/>
              </w:rPr>
              <w:t>Retrieval precision</w:t>
            </w:r>
          </w:p>
        </w:tc>
        <w:tc>
          <w:tcPr>
            <w:tcW w:type="dxa" w:w="907"/>
          </w:tcPr>
          <w:p>
            <w:pPr>
              <w:spacing w:after="20" w:line="264" w:lineRule="auto"/>
              <w:jc w:val="center"/>
            </w:pPr>
            <w:r/>
            <w:r>
              <w:rPr>
                <w:sz w:val="21"/>
              </w:rPr>
              <w:t>61</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Faithfulness</w:t>
            </w:r>
          </w:p>
        </w:tc>
        <w:tc>
          <w:tcPr>
            <w:tcW w:type="dxa" w:w="907"/>
            <w:shd w:val="clear" w:color="auto" w:fill="F0F5FC"/>
          </w:tcPr>
          <w:p>
            <w:pPr>
              <w:spacing w:after="20" w:line="264" w:lineRule="auto"/>
              <w:jc w:val="center"/>
            </w:pPr>
            <w:r/>
            <w:r>
              <w:rPr>
                <w:sz w:val="21"/>
              </w:rPr>
              <w:t>56</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Hallucination</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correctness</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relevancy</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99%</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r>
              <w:rPr>
                <w:b/>
                <w:sz w:val="21"/>
              </w:rPr>
              <w:t>GraphRAG</w:t>
            </w:r>
          </w:p>
        </w:tc>
        <w:tc>
          <w:tcPr>
            <w:tcW w:type="dxa" w:w="2041"/>
            <w:shd w:val="clear" w:color="auto" w:fill="F0F5FC"/>
          </w:tcPr>
          <w:p>
            <w:pPr>
              <w:spacing w:after="20" w:line="264" w:lineRule="auto"/>
              <w:jc w:val="left"/>
            </w:pPr>
            <w:r/>
            <w:r>
              <w:rPr>
                <w:sz w:val="21"/>
              </w:rPr>
              <w:t>Retrieval precision</w:t>
            </w:r>
          </w:p>
        </w:tc>
        <w:tc>
          <w:tcPr>
            <w:tcW w:type="dxa" w:w="907"/>
            <w:shd w:val="clear" w:color="auto" w:fill="F0F5FC"/>
          </w:tcPr>
          <w:p>
            <w:pPr>
              <w:spacing w:after="20" w:line="264" w:lineRule="auto"/>
              <w:jc w:val="center"/>
            </w:pPr>
            <w:r/>
            <w:r>
              <w:rPr>
                <w:sz w:val="21"/>
              </w:rPr>
              <w:t>60</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Faithfulness</w:t>
            </w:r>
          </w:p>
        </w:tc>
        <w:tc>
          <w:tcPr>
            <w:tcW w:type="dxa" w:w="907"/>
          </w:tcPr>
          <w:p>
            <w:pPr>
              <w:spacing w:after="20" w:line="264" w:lineRule="auto"/>
              <w:jc w:val="center"/>
            </w:pPr>
            <w:r/>
            <w:r>
              <w:rPr>
                <w:sz w:val="21"/>
              </w:rPr>
              <w:t>56</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correctness</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relevancy</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98%</w:t>
            </w:r>
          </w:p>
        </w:tc>
        <w:tc>
          <w:tcPr>
            <w:tcW w:type="dxa" w:w="2494"/>
            <w:shd w:val="clear" w:color="auto" w:fill="F0F5FC"/>
          </w:tcPr>
          <w:p>
            <w:pPr>
              <w:spacing w:after="20" w:line="264" w:lineRule="auto"/>
              <w:jc w:val="center"/>
            </w:pPr>
            <w:r/>
            <w:r>
              <w:rPr>
                <w:sz w:val="21"/>
              </w:rPr>
              <w:t>0,000</w:t>
            </w:r>
          </w:p>
        </w:tc>
      </w:tr>
    </w:tbl>
    <w:p>
      <w:pPr>
        <w:spacing w:after="40"/>
      </w:pPr>
    </w:p>
    <w:p>
      <w:pPr>
        <w:ind w:firstLine="567"/>
      </w:pPr>
      <w:r>
        <w:t>Mỗi câu trả lời được judge chấm 3 lần; Bảng 7–8 dùng kết quả gộp (nhãn nhị phân: đa số; retrieval precision, faithfulness và answer relevancy: trung bình). Điểm gần như trùng nhau ở mọi lần chấm, nên kết luận không phụ thuộc vào một lần chấm cụ thể. Độ nhất quán cao không có nghĩa là judge đúng: đối chiếu với human judge (mục 8.5) cho thấy judge lệch có hệ thống so với người.</w:t>
      </w:r>
    </w:p>
    <w:p>
      <w:pPr>
        <w:pStyle w:val="Heading2"/>
      </w:pPr>
      <w:r>
        <w:t>8.5. Đối chiếu với human judge</w:t>
      </w:r>
    </w:p>
    <w:p>
      <w:pPr>
        <w:ind w:firstLine="567"/>
      </w:pPr>
      <w:r>
        <w:t>Để kiểm tra độ tin cậy của judge, một mẫu stratified gồm 18 câu hỏi (9 single-hop, 9 multi-hop, chọn ngẫu nhiên với seed 42) được chấm tay; mỗi câu hỏi chấm câu trả lời của cả hai hệ, tổng 36 câu trả lời. Phiếu chấm xáo trộn thứ tự, không ghi tên hệ thống và không hiện điểm của judge. Human judge gán đúng ba loại nhãn mà judge gán, trên đúng dữ liệu judge đã chấm: passage có giúp suy ra ground truth không (retrieval precision), từng claim do judge tách từ câu trả lời có được context hỗ trợ không (faithfulness, hallucination), và câu trả lời có đúng so với ground truth không (answer correctness). Nhãn được so với điểm judge gốc (Bảng 7) bằng % agreement và Cohen's κ, CI 95% bootstrap theo câu trả lời.</w:t>
      </w:r>
    </w:p>
    <w:p>
      <w:pPr>
        <w:pStyle w:val="Caption"/>
        <w:keepNext/>
        <w:jc w:val="center"/>
      </w:pPr>
      <w:r>
        <w:t>Bảng 12. Agreement giữa human judge và judge (llama3.1:8b) trên mẫu stratified</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nhãn</w:t>
            </w:r>
          </w:p>
        </w:tc>
        <w:tc>
          <w:tcPr>
            <w:tcW w:type="dxa" w:w="1020"/>
            <w:shd w:val="clear" w:color="auto" w:fill="1C5CAB"/>
          </w:tcPr>
          <w:p>
            <w:pPr>
              <w:spacing w:after="20" w:line="264" w:lineRule="auto"/>
              <w:jc w:val="center"/>
            </w:pPr>
            <w:r/>
            <w:r>
              <w:rPr>
                <w:b/>
                <w:color w:val="FFFFFF"/>
                <w:sz w:val="20"/>
              </w:rPr>
              <w:t>Tỉ lệ "có": human</w:t>
            </w:r>
          </w:p>
        </w:tc>
        <w:tc>
          <w:tcPr>
            <w:tcW w:type="dxa" w:w="1020"/>
            <w:shd w:val="clear" w:color="auto" w:fill="1C5CAB"/>
          </w:tcPr>
          <w:p>
            <w:pPr>
              <w:spacing w:after="20" w:line="264" w:lineRule="auto"/>
              <w:jc w:val="center"/>
            </w:pPr>
            <w:r/>
            <w:r>
              <w:rPr>
                <w:b/>
                <w:color w:val="FFFFFF"/>
                <w:sz w:val="20"/>
              </w:rPr>
              <w:t>Tỉ lệ "có": judge</w:t>
            </w:r>
          </w:p>
        </w:tc>
        <w:tc>
          <w:tcPr>
            <w:tcW w:type="dxa" w:w="1474"/>
            <w:shd w:val="clear" w:color="auto" w:fill="1C5CAB"/>
          </w:tcPr>
          <w:p>
            <w:pPr>
              <w:spacing w:after="20" w:line="264" w:lineRule="auto"/>
              <w:jc w:val="center"/>
            </w:pPr>
            <w:r/>
            <w:r>
              <w:rPr>
                <w:b/>
                <w:color w:val="FFFFFF"/>
                <w:sz w:val="20"/>
              </w:rPr>
              <w:t>% agreement [CI 95%]</w:t>
            </w:r>
          </w:p>
        </w:tc>
        <w:tc>
          <w:tcPr>
            <w:tcW w:type="dxa" w:w="1474"/>
            <w:shd w:val="clear" w:color="auto" w:fill="1C5CAB"/>
          </w:tcPr>
          <w:p>
            <w:pPr>
              <w:spacing w:after="20" w:line="264" w:lineRule="auto"/>
              <w:jc w:val="center"/>
            </w:pPr>
            <w:r/>
            <w:r>
              <w:rPr>
                <w:b/>
                <w:color w:val="FFFFFF"/>
                <w:sz w:val="20"/>
              </w:rPr>
              <w:t>Cohen's κ [CI 95%]</w:t>
            </w:r>
          </w:p>
        </w:tc>
        <w:tc>
          <w:tcPr>
            <w:tcW w:type="dxa" w:w="1247"/>
            <w:shd w:val="clear" w:color="auto" w:fill="1C5CAB"/>
          </w:tcPr>
          <w:p>
            <w:pPr>
              <w:spacing w:after="20" w:line="264" w:lineRule="auto"/>
              <w:jc w:val="center"/>
            </w:pPr>
            <w:r/>
            <w:r>
              <w:rPr>
                <w:b/>
                <w:color w:val="FFFFFF"/>
                <w:sz w:val="20"/>
              </w:rPr>
              <w:t>Mức (Landis &amp; Koch)</w:t>
            </w:r>
          </w:p>
        </w:tc>
      </w:tr>
      <w:tr>
        <w:trPr>
          <w:cantSplit w:val="true"/>
        </w:trPr>
        <w:tc>
          <w:tcPr>
            <w:tcW w:type="dxa" w:w="2041"/>
          </w:tcPr>
          <w:p>
            <w:pPr>
              <w:spacing w:after="20" w:line="264" w:lineRule="auto"/>
              <w:jc w:val="left"/>
            </w:pPr>
            <w:r>
              <w:rPr>
                <w:b/>
              </w:rPr>
            </w:r>
            <w:r>
              <w:rPr>
                <w:b/>
                <w:sz w:val="20"/>
              </w:rPr>
              <w:t>Passage hữu ích (retrieval precision)</w:t>
            </w:r>
          </w:p>
        </w:tc>
        <w:tc>
          <w:tcPr>
            <w:tcW w:type="dxa" w:w="794"/>
          </w:tcPr>
          <w:p>
            <w:pPr>
              <w:spacing w:after="20" w:line="264" w:lineRule="auto"/>
              <w:jc w:val="center"/>
            </w:pPr>
            <w:r/>
            <w:r>
              <w:rPr>
                <w:sz w:val="20"/>
              </w:rPr>
              <w:t>139</w:t>
            </w:r>
          </w:p>
        </w:tc>
        <w:tc>
          <w:tcPr>
            <w:tcW w:type="dxa" w:w="1020"/>
          </w:tcPr>
          <w:p>
            <w:pPr>
              <w:spacing w:after="20" w:line="264" w:lineRule="auto"/>
              <w:jc w:val="center"/>
            </w:pPr>
            <w:r/>
            <w:r>
              <w:rPr>
                <w:sz w:val="20"/>
              </w:rPr>
              <w:t>21%</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55%</w:t>
              <w:br/>
              <w:t>[45%; 64%]</w:t>
            </w:r>
          </w:p>
        </w:tc>
        <w:tc>
          <w:tcPr>
            <w:tcW w:type="dxa" w:w="1474"/>
          </w:tcPr>
          <w:p>
            <w:pPr>
              <w:spacing w:after="20" w:line="264" w:lineRule="auto"/>
              <w:jc w:val="center"/>
            </w:pPr>
            <w:r/>
            <w:r>
              <w:rPr>
                <w:sz w:val="20"/>
              </w:rPr>
              <w:t>0,13</w:t>
              <w:br/>
              <w:t>[−0,01; 0,27]</w:t>
            </w:r>
          </w:p>
        </w:tc>
        <w:tc>
          <w:tcPr>
            <w:tcW w:type="dxa" w:w="1247"/>
          </w:tcPr>
          <w:p>
            <w:pPr>
              <w:spacing w:after="20" w:line="264" w:lineRule="auto"/>
              <w:jc w:val="center"/>
            </w:pPr>
            <w:r/>
            <w:r>
              <w:rPr>
                <w:sz w:val="20"/>
              </w:rPr>
              <w:t>rất thấp</w:t>
            </w:r>
          </w:p>
        </w:tc>
      </w:tr>
      <w:tr>
        <w:trPr>
          <w:cantSplit w:val="true"/>
        </w:trPr>
        <w:tc>
          <w:tcPr>
            <w:tcW w:type="dxa" w:w="2041"/>
            <w:shd w:val="clear" w:color="auto" w:fill="F0F5FC"/>
          </w:tcPr>
          <w:p>
            <w:pPr>
              <w:spacing w:after="20" w:line="264" w:lineRule="auto"/>
              <w:jc w:val="left"/>
            </w:pPr>
            <w:r>
              <w:rPr>
                <w:b/>
              </w:rPr>
            </w:r>
            <w:r>
              <w:rPr>
                <w:b/>
                <w:sz w:val="20"/>
              </w:rPr>
              <w:t>Câu trả lời đúng (answer correctness)</w:t>
            </w:r>
          </w:p>
        </w:tc>
        <w:tc>
          <w:tcPr>
            <w:tcW w:type="dxa" w:w="794"/>
            <w:shd w:val="clear" w:color="auto" w:fill="F0F5FC"/>
          </w:tcPr>
          <w:p>
            <w:pPr>
              <w:spacing w:after="20" w:line="264" w:lineRule="auto"/>
              <w:jc w:val="center"/>
            </w:pPr>
            <w:r/>
            <w:r>
              <w:rPr>
                <w:sz w:val="20"/>
              </w:rPr>
              <w:t>36</w:t>
            </w:r>
          </w:p>
        </w:tc>
        <w:tc>
          <w:tcPr>
            <w:tcW w:type="dxa" w:w="1020"/>
            <w:shd w:val="clear" w:color="auto" w:fill="F0F5FC"/>
          </w:tcPr>
          <w:p>
            <w:pPr>
              <w:spacing w:after="20" w:line="264" w:lineRule="auto"/>
              <w:jc w:val="center"/>
            </w:pPr>
            <w:r/>
            <w:r>
              <w:rPr>
                <w:sz w:val="20"/>
              </w:rPr>
              <w:t>42%</w:t>
            </w:r>
          </w:p>
        </w:tc>
        <w:tc>
          <w:tcPr>
            <w:tcW w:type="dxa" w:w="1020"/>
            <w:shd w:val="clear" w:color="auto" w:fill="F0F5FC"/>
          </w:tcPr>
          <w:p>
            <w:pPr>
              <w:spacing w:after="20" w:line="264" w:lineRule="auto"/>
              <w:jc w:val="center"/>
            </w:pPr>
            <w:r/>
            <w:r>
              <w:rPr>
                <w:sz w:val="20"/>
              </w:rPr>
              <w:t>83%</w:t>
            </w:r>
          </w:p>
        </w:tc>
        <w:tc>
          <w:tcPr>
            <w:tcW w:type="dxa" w:w="1474"/>
            <w:shd w:val="clear" w:color="auto" w:fill="F0F5FC"/>
          </w:tcPr>
          <w:p>
            <w:pPr>
              <w:spacing w:after="20" w:line="264" w:lineRule="auto"/>
              <w:jc w:val="center"/>
            </w:pPr>
            <w:r/>
            <w:r>
              <w:rPr>
                <w:sz w:val="20"/>
              </w:rPr>
              <w:t>53%</w:t>
              <w:br/>
              <w:t>[36%; 69%]</w:t>
            </w:r>
          </w:p>
        </w:tc>
        <w:tc>
          <w:tcPr>
            <w:tcW w:type="dxa" w:w="1474"/>
            <w:shd w:val="clear" w:color="auto" w:fill="F0F5FC"/>
          </w:tcPr>
          <w:p>
            <w:pPr>
              <w:spacing w:after="20" w:line="264" w:lineRule="auto"/>
              <w:jc w:val="center"/>
            </w:pPr>
            <w:r/>
            <w:r>
              <w:rPr>
                <w:sz w:val="20"/>
              </w:rPr>
              <w:t>0,15</w:t>
              <w:br/>
              <w:t>[−0,06; 0,37]</w:t>
            </w:r>
          </w:p>
        </w:tc>
        <w:tc>
          <w:tcPr>
            <w:tcW w:type="dxa" w:w="1247"/>
            <w:shd w:val="clear" w:color="auto" w:fill="F0F5FC"/>
          </w:tcPr>
          <w:p>
            <w:pPr>
              <w:spacing w:after="20" w:line="264" w:lineRule="auto"/>
              <w:jc w:val="center"/>
            </w:pPr>
            <w:r/>
            <w:r>
              <w:rPr>
                <w:sz w:val="20"/>
              </w:rPr>
              <w:t>rất thấp</w:t>
            </w:r>
          </w:p>
        </w:tc>
      </w:tr>
      <w:tr>
        <w:trPr>
          <w:cantSplit w:val="true"/>
        </w:trPr>
        <w:tc>
          <w:tcPr>
            <w:tcW w:type="dxa" w:w="2041"/>
          </w:tcPr>
          <w:p>
            <w:pPr>
              <w:spacing w:after="20" w:line="264" w:lineRule="auto"/>
              <w:jc w:val="left"/>
            </w:pPr>
            <w:r>
              <w:rPr>
                <w:b/>
              </w:rPr>
            </w:r>
            <w:r>
              <w:rPr>
                <w:b/>
                <w:sz w:val="20"/>
              </w:rPr>
              <w:t>Có ý không được hỗ trợ (hallucination)</w:t>
            </w:r>
          </w:p>
        </w:tc>
        <w:tc>
          <w:tcPr>
            <w:tcW w:type="dxa" w:w="794"/>
          </w:tcPr>
          <w:p>
            <w:pPr>
              <w:spacing w:after="20" w:line="264" w:lineRule="auto"/>
              <w:jc w:val="center"/>
            </w:pPr>
            <w:r/>
            <w:r>
              <w:rPr>
                <w:sz w:val="20"/>
              </w:rPr>
              <w:t>32</w:t>
            </w:r>
          </w:p>
        </w:tc>
        <w:tc>
          <w:tcPr>
            <w:tcW w:type="dxa" w:w="1020"/>
          </w:tcPr>
          <w:p>
            <w:pPr>
              <w:spacing w:after="20" w:line="264" w:lineRule="auto"/>
              <w:jc w:val="center"/>
            </w:pPr>
            <w:r/>
            <w:r>
              <w:rPr>
                <w:sz w:val="20"/>
              </w:rPr>
              <w:t>16%</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62%</w:t>
              <w:br/>
              <w:t>[47%; 78%]</w:t>
            </w:r>
          </w:p>
        </w:tc>
        <w:tc>
          <w:tcPr>
            <w:tcW w:type="dxa" w:w="1474"/>
          </w:tcPr>
          <w:p>
            <w:pPr>
              <w:spacing w:after="20" w:line="264" w:lineRule="auto"/>
              <w:jc w:val="center"/>
            </w:pPr>
            <w:r/>
            <w:r>
              <w:rPr>
                <w:sz w:val="20"/>
              </w:rPr>
              <w:t>0,28</w:t>
              <w:br/>
              <w:t>[0,08; 0,55]</w:t>
            </w:r>
          </w:p>
        </w:tc>
        <w:tc>
          <w:tcPr>
            <w:tcW w:type="dxa" w:w="1247"/>
          </w:tcPr>
          <w:p>
            <w:pPr>
              <w:spacing w:after="20" w:line="264" w:lineRule="auto"/>
              <w:jc w:val="center"/>
            </w:pPr>
            <w:r/>
            <w:r>
              <w:rPr>
                <w:sz w:val="20"/>
              </w:rPr>
              <w:t>thấp</w:t>
            </w:r>
          </w:p>
        </w:tc>
      </w:tr>
    </w:tbl>
    <w:p>
      <w:pPr>
        <w:spacing w:after="40"/>
      </w:pPr>
    </w:p>
    <w:p>
      <w:pPr>
        <w:ind w:firstLine="567"/>
      </w:pPr>
      <w:r>
        <w:t>Agreement giữa human judge và judge thấp: κ từ 0,13 đến 0,28, tức mức rất thấp đến thấp theo Landis &amp; Koch. Sai lệch có hướng rõ và ngược chiều nhau giữa các prompt: ở bước chấm passage và answer correctness, judge dễ dãi hơn (tính 53% passage là hữu ích so với 21% của human judge; 83% câu trả lời là đúng so với 42%), còn ở bước verify claim judge khắt khe hơn (53% câu trả lời có claim không được hỗ trợ so với 16%; faithfulness trung bình 0,869 so với 0,962, tương quan Pearson 0,43, n = 32).</w:t>
      </w:r>
    </w:p>
    <w:p>
      <w:pPr>
        <w:pStyle w:val="Caption"/>
        <w:keepNext/>
        <w:jc w:val="center"/>
      </w:pPr>
      <w:r>
        <w:t>Bảng 13. Nguồn chênh lệch giữa human judge và judge: tỉ lệ "có" (faithfulness: trung bình) theo loại câu, hệ thống và vị trí passage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381"/>
            <w:shd w:val="clear" w:color="auto" w:fill="1C5CAB"/>
          </w:tcPr>
          <w:p>
            <w:pPr>
              <w:spacing w:after="20" w:line="264" w:lineRule="auto"/>
              <w:jc w:val="center"/>
            </w:pPr>
            <w:r/>
            <w:r>
              <w:rPr>
                <w:b/>
                <w:color w:val="FFFFFF"/>
                <w:sz w:val="21"/>
              </w:rPr>
              <w:t>Nhãn</w:t>
            </w:r>
          </w:p>
        </w:tc>
        <w:tc>
          <w:tcPr>
            <w:tcW w:type="dxa" w:w="2608"/>
            <w:shd w:val="clear" w:color="auto" w:fill="1C5CAB"/>
          </w:tcPr>
          <w:p>
            <w:pPr>
              <w:spacing w:after="20" w:line="264" w:lineRule="auto"/>
              <w:jc w:val="center"/>
            </w:pPr>
            <w:r/>
            <w:r>
              <w:rPr>
                <w:b/>
                <w:color w:val="FFFFFF"/>
                <w:sz w:val="21"/>
              </w:rPr>
              <w:t>Nhóm</w:t>
            </w:r>
          </w:p>
        </w:tc>
        <w:tc>
          <w:tcPr>
            <w:tcW w:type="dxa" w:w="1701"/>
            <w:shd w:val="clear" w:color="auto" w:fill="1C5CAB"/>
          </w:tcPr>
          <w:p>
            <w:pPr>
              <w:spacing w:after="20" w:line="264" w:lineRule="auto"/>
              <w:jc w:val="center"/>
            </w:pPr>
            <w:r/>
            <w:r>
              <w:rPr>
                <w:b/>
                <w:color w:val="FFFFFF"/>
                <w:sz w:val="21"/>
              </w:rPr>
              <w:t>Human judge</w:t>
            </w:r>
          </w:p>
        </w:tc>
        <w:tc>
          <w:tcPr>
            <w:tcW w:type="dxa" w:w="1701"/>
            <w:shd w:val="clear" w:color="auto" w:fill="1C5CAB"/>
          </w:tcPr>
          <w:p>
            <w:pPr>
              <w:spacing w:after="20" w:line="264" w:lineRule="auto"/>
              <w:jc w:val="center"/>
            </w:pPr>
            <w:r/>
            <w:r>
              <w:rPr>
                <w:b/>
                <w:color w:val="FFFFFF"/>
                <w:sz w:val="21"/>
              </w:rPr>
              <w:t>Judge</w:t>
            </w:r>
          </w:p>
        </w:tc>
      </w:tr>
      <w:tr>
        <w:trPr>
          <w:cantSplit w:val="true"/>
        </w:trPr>
        <w:tc>
          <w:tcPr>
            <w:tcW w:type="dxa" w:w="2381"/>
          </w:tcPr>
          <w:p>
            <w:pPr>
              <w:spacing w:after="20" w:line="264" w:lineRule="auto"/>
              <w:jc w:val="left"/>
            </w:pPr>
            <w:r>
              <w:rPr>
                <w:b/>
              </w:rPr>
            </w:r>
            <w:r>
              <w:rPr>
                <w:b/>
                <w:sz w:val="21"/>
              </w:rPr>
              <w:t>Answer correctness</w:t>
            </w:r>
          </w:p>
        </w:tc>
        <w:tc>
          <w:tcPr>
            <w:tcW w:type="dxa" w:w="2608"/>
          </w:tcPr>
          <w:p>
            <w:pPr>
              <w:spacing w:after="20" w:line="264" w:lineRule="auto"/>
              <w:jc w:val="left"/>
            </w:pPr>
            <w:r/>
            <w:r>
              <w:rPr>
                <w:sz w:val="21"/>
              </w:rPr>
              <w:t>Single-hop</w:t>
            </w:r>
          </w:p>
        </w:tc>
        <w:tc>
          <w:tcPr>
            <w:tcW w:type="dxa" w:w="1701"/>
          </w:tcPr>
          <w:p>
            <w:pPr>
              <w:spacing w:after="20" w:line="264" w:lineRule="auto"/>
              <w:jc w:val="center"/>
            </w:pPr>
            <w:r/>
            <w:r>
              <w:rPr>
                <w:sz w:val="21"/>
              </w:rPr>
              <w:t>61%</w:t>
            </w:r>
          </w:p>
        </w:tc>
        <w:tc>
          <w:tcPr>
            <w:tcW w:type="dxa" w:w="1701"/>
          </w:tcPr>
          <w:p>
            <w:pPr>
              <w:spacing w:after="20" w:line="264" w:lineRule="auto"/>
              <w:jc w:val="center"/>
            </w:pPr>
            <w:r/>
            <w:r>
              <w:rPr>
                <w:sz w:val="21"/>
              </w:rPr>
              <w:t>72%</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Multi-hop</w:t>
            </w:r>
          </w:p>
        </w:tc>
        <w:tc>
          <w:tcPr>
            <w:tcW w:type="dxa" w:w="1701"/>
            <w:shd w:val="clear" w:color="auto" w:fill="F0F5FC"/>
          </w:tcPr>
          <w:p>
            <w:pPr>
              <w:spacing w:after="20" w:line="264" w:lineRule="auto"/>
              <w:jc w:val="center"/>
            </w:pPr>
            <w:r/>
            <w:r>
              <w:rPr>
                <w:sz w:val="21"/>
              </w:rPr>
              <w:t>22%</w:t>
            </w:r>
          </w:p>
        </w:tc>
        <w:tc>
          <w:tcPr>
            <w:tcW w:type="dxa" w:w="1701"/>
            <w:shd w:val="clear" w:color="auto" w:fill="F0F5FC"/>
          </w:tcPr>
          <w:p>
            <w:pPr>
              <w:spacing w:after="20" w:line="264" w:lineRule="auto"/>
              <w:jc w:val="center"/>
            </w:pPr>
            <w:r/>
            <w:r>
              <w:rPr>
                <w:sz w:val="21"/>
              </w:rPr>
              <w:t>94%</w:t>
            </w:r>
          </w:p>
        </w:tc>
      </w:tr>
      <w:tr>
        <w:trPr>
          <w:cantSplit w:val="true"/>
        </w:trPr>
        <w:tc>
          <w:tcPr>
            <w:tcW w:type="dxa" w:w="2381"/>
          </w:tcPr>
          <w:p>
            <w:pPr>
              <w:spacing w:after="20" w:line="264" w:lineRule="auto"/>
              <w:jc w:val="left"/>
            </w:pPr>
            <w:r>
              <w:rPr>
                <w:b/>
              </w:rPr>
            </w:r>
            <w:r>
              <w:rPr>
                <w:b/>
                <w:sz w:val="21"/>
              </w:rPr>
              <w:t>Passage hữu ích</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15%</w:t>
            </w:r>
          </w:p>
        </w:tc>
        <w:tc>
          <w:tcPr>
            <w:tcW w:type="dxa" w:w="1701"/>
          </w:tcPr>
          <w:p>
            <w:pPr>
              <w:spacing w:after="20" w:line="264" w:lineRule="auto"/>
              <w:jc w:val="center"/>
            </w:pPr>
            <w:r/>
            <w:r>
              <w:rPr>
                <w:sz w:val="21"/>
              </w:rPr>
              <w:t>51%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25%</w:t>
            </w:r>
          </w:p>
        </w:tc>
        <w:tc>
          <w:tcPr>
            <w:tcW w:type="dxa" w:w="1701"/>
            <w:shd w:val="clear" w:color="auto" w:fill="F0F5FC"/>
          </w:tcPr>
          <w:p>
            <w:pPr>
              <w:spacing w:after="20" w:line="264" w:lineRule="auto"/>
              <w:jc w:val="center"/>
            </w:pPr>
            <w:r/>
            <w:r>
              <w:rPr>
                <w:sz w:val="21"/>
              </w:rPr>
              <w:t>55%</w:t>
            </w:r>
          </w:p>
        </w:tc>
      </w:tr>
      <w:tr>
        <w:trPr>
          <w:cantSplit w:val="true"/>
        </w:trPr>
        <w:tc>
          <w:tcPr>
            <w:tcW w:type="dxa" w:w="2381"/>
          </w:tcPr>
          <w:p>
            <w:pPr>
              <w:spacing w:after="20" w:line="264" w:lineRule="auto"/>
              <w:jc w:val="left"/>
            </w:pPr>
            <w:r>
              <w:rPr>
                <w:b/>
              </w:rPr>
            </w:r>
          </w:p>
        </w:tc>
        <w:tc>
          <w:tcPr>
            <w:tcW w:type="dxa" w:w="2608"/>
          </w:tcPr>
          <w:p>
            <w:pPr>
              <w:spacing w:after="20" w:line="264" w:lineRule="auto"/>
              <w:jc w:val="left"/>
            </w:pPr>
            <w:r/>
            <w:r>
              <w:rPr>
                <w:sz w:val="21"/>
              </w:rPr>
              <w:t>Passage xếp hạng 1</w:t>
            </w:r>
          </w:p>
        </w:tc>
        <w:tc>
          <w:tcPr>
            <w:tcW w:type="dxa" w:w="1701"/>
          </w:tcPr>
          <w:p>
            <w:pPr>
              <w:spacing w:after="20" w:line="264" w:lineRule="auto"/>
              <w:jc w:val="center"/>
            </w:pPr>
            <w:r/>
            <w:r>
              <w:rPr>
                <w:sz w:val="21"/>
              </w:rPr>
              <w:t>39%</w:t>
            </w:r>
          </w:p>
        </w:tc>
        <w:tc>
          <w:tcPr>
            <w:tcW w:type="dxa" w:w="1701"/>
          </w:tcPr>
          <w:p>
            <w:pPr>
              <w:spacing w:after="20" w:line="264" w:lineRule="auto"/>
              <w:jc w:val="center"/>
            </w:pPr>
            <w:r/>
            <w:r>
              <w:rPr>
                <w:sz w:val="21"/>
              </w:rPr>
              <w:t>63%</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Passage xếp hạng 2–4</w:t>
            </w:r>
          </w:p>
        </w:tc>
        <w:tc>
          <w:tcPr>
            <w:tcW w:type="dxa" w:w="1701"/>
            <w:shd w:val="clear" w:color="auto" w:fill="F0F5FC"/>
          </w:tcPr>
          <w:p>
            <w:pPr>
              <w:spacing w:after="20" w:line="264" w:lineRule="auto"/>
              <w:jc w:val="center"/>
            </w:pPr>
            <w:r/>
            <w:r>
              <w:rPr>
                <w:sz w:val="21"/>
              </w:rPr>
              <w:t>14%</w:t>
            </w:r>
          </w:p>
        </w:tc>
        <w:tc>
          <w:tcPr>
            <w:tcW w:type="dxa" w:w="1701"/>
            <w:shd w:val="clear" w:color="auto" w:fill="F0F5FC"/>
          </w:tcPr>
          <w:p>
            <w:pPr>
              <w:spacing w:after="20" w:line="264" w:lineRule="auto"/>
              <w:jc w:val="center"/>
            </w:pPr>
            <w:r/>
            <w:r>
              <w:rPr>
                <w:sz w:val="21"/>
              </w:rPr>
              <w:t>50%</w:t>
            </w:r>
          </w:p>
        </w:tc>
      </w:tr>
      <w:tr>
        <w:trPr>
          <w:cantSplit w:val="true"/>
        </w:trPr>
        <w:tc>
          <w:tcPr>
            <w:tcW w:type="dxa" w:w="2381"/>
          </w:tcPr>
          <w:p>
            <w:pPr>
              <w:spacing w:after="20" w:line="264" w:lineRule="auto"/>
              <w:jc w:val="left"/>
            </w:pPr>
            <w:r>
              <w:rPr>
                <w:b/>
              </w:rPr>
            </w:r>
            <w:r>
              <w:rPr>
                <w:b/>
                <w:sz w:val="21"/>
              </w:rPr>
              <w:t>Faithfulness</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0,991</w:t>
            </w:r>
          </w:p>
        </w:tc>
        <w:tc>
          <w:tcPr>
            <w:tcW w:type="dxa" w:w="1701"/>
          </w:tcPr>
          <w:p>
            <w:pPr>
              <w:spacing w:after="20" w:line="264" w:lineRule="auto"/>
              <w:jc w:val="center"/>
            </w:pPr>
            <w:r/>
            <w:r>
              <w:rPr>
                <w:sz w:val="21"/>
              </w:rPr>
              <w:t>0,838</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0,933</w:t>
            </w:r>
          </w:p>
        </w:tc>
        <w:tc>
          <w:tcPr>
            <w:tcW w:type="dxa" w:w="1701"/>
            <w:shd w:val="clear" w:color="auto" w:fill="F0F5FC"/>
          </w:tcPr>
          <w:p>
            <w:pPr>
              <w:spacing w:after="20" w:line="264" w:lineRule="auto"/>
              <w:jc w:val="center"/>
            </w:pPr>
            <w:r/>
            <w:r>
              <w:rPr>
                <w:sz w:val="21"/>
              </w:rPr>
              <w:t>0,899</w:t>
            </w:r>
          </w:p>
        </w:tc>
      </w:tr>
    </w:tbl>
    <w:p>
      <w:pPr>
        <w:spacing w:after="40"/>
      </w:pPr>
    </w:p>
    <w:p>
      <w:pPr>
        <w:ind w:firstLine="567"/>
      </w:pPr>
      <w:r>
        <w:t>Phân tích các nhãn bị lệch cho thấy ba nguyên nhân, mỗi nguyên nhân gắn với một prompt của judge:</w:t>
      </w:r>
    </w:p>
    <w:p>
      <w:pPr>
        <w:pStyle w:val="ListBullet"/>
        <w:spacing w:after="60"/>
      </w:pPr>
      <w:r>
        <w:rPr>
          <w:b/>
        </w:rPr>
        <w:t xml:space="preserve">Answer correctness, judge chỉ cần đúng chủ đề: </w:t>
      </w:r>
      <w:r>
        <w:t>16 trên 17 câu trả lời bị lệch là judge chấm đúng còn human judge chấm sai, trong đó 13 câu multi-hop. Ground truth của câu multi-hop ghép từ hai đoạn văn và thường gồm 4–6 ý; câu trả lời hay chỉ nêu được phần đầu. Prompt chỉ yêu cầu "conveys the key facts of the reference without contradicting it", và judge 8B chấm 1 khi câu trả lời cùng chủ đề, dùng cùng thuật ngữ mà không đối chiếu từng ý; có câu ghi khoá công khai Kyber khoảng 1088 byte trong khi ground truth ghi khoảng 800 byte vẫn được chấm đúng. Human judge chỉ chấm đúng khi câu trả lời nêu đủ các ý chính, nên ở câu multi-hop hai bên lệch nhiều nhất (22% so với 94%).</w:t>
      </w:r>
    </w:p>
    <w:p>
      <w:pPr>
        <w:pStyle w:val="ListBullet"/>
        <w:spacing w:after="60"/>
      </w:pPr>
      <w:r>
        <w:rPr>
          <w:b/>
        </w:rPr>
        <w:t xml:space="preserve">Passage hữu ích, judge gần như không phân biệt: </w:t>
      </w:r>
      <w:r>
        <w:t>54 passage judge chấm hữu ích mà human judge không, chiều ngược lại chỉ 9. Tỉ lệ judge chấm hữu ích bằng nhau ở hai hệ (51,4%) và gần như không đổi theo vị trí xếp hạng, trong khi human judge thấy passage xếp hạng 1 hữu ích nhiều hơn hẳn các passage sau và GraphRAG kém hơn Vector RAG. Dù prompt dặn passage chỉ cùng chủ đề thì là "no", judge vẫn thiên về "yes" khi phải chấm 4 passage dài trong một lần gọi.</w:t>
      </w:r>
    </w:p>
    <w:p>
      <w:pPr>
        <w:pStyle w:val="ListBullet"/>
        <w:spacing w:after="60"/>
      </w:pPr>
      <w:r>
        <w:rPr>
          <w:b/>
        </w:rPr>
        <w:t xml:space="preserve">Verify claim, judge khắt khe với context dài: </w:t>
      </w:r>
      <w:r>
        <w:t>ngược với hai prompt trên, ở bước verify claim judge chấm 12 câu trả lời có claim không được hỗ trợ mà human judge thấy đủ, không có trường hợp ngược lại; 9 câu trong số đó là của GraphRAG. Context của GraphRAG gồm cả mô tả KG lẫn 4 passage nên dài hơn, còn prompt yêu cầu judge là "strict fact checker" và chỉ trả lời "yes" khi claim "directly inferred" từ context; claim diễn đạt lại ý hoặc dựa trên một dòng mô tả KG ngắn dễ bị chấm "no". Vì vậy faithfulness của GraphRAG bị judge chấm thấp hơn nhiều so với human judge (0,838 so với 0,991), còn ở Vector RAG chênh lệch nhỏ.</w:t>
      </w:r>
    </w:p>
    <w:p>
      <w:pPr>
        <w:ind w:firstLine="567"/>
      </w:pPr>
      <w:r>
        <w:t>Như vậy mức tuyệt đối của các metric do judge chấm (Bảng 7) không nên đọc như độ chính xác thực của hệ thống; theo nhãn human judge, answer correctness trên mẫu này thấp hơn khoảng một nửa. Paired difference giữa hai hệ do cùng một judge chấm bù trừ được một phần sai lệch chung, nhưng không hết khi sai lệch khác nhau giữa hai hệ, như ở faithfulness của GraphRAG.</w:t>
      </w:r>
    </w:p>
    <w:p>
      <w:pPr>
        <w:pStyle w:val="Caption"/>
        <w:keepNext/>
        <w:jc w:val="center"/>
      </w:pPr>
      <w:r>
        <w:t>Bảng 14. GraphRAG − Vector RAG trên cùng mẫu, tính bằng nhãn human judge và nhãn judge (in đậm: có statistical significance)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20"/>
              </w:rPr>
              <w:t>Metric</w:t>
            </w:r>
          </w:p>
        </w:tc>
        <w:tc>
          <w:tcPr>
            <w:tcW w:type="dxa" w:w="1304"/>
            <w:shd w:val="clear" w:color="auto" w:fill="1C5CAB"/>
          </w:tcPr>
          <w:p>
            <w:pPr>
              <w:spacing w:after="20" w:line="264" w:lineRule="auto"/>
              <w:jc w:val="center"/>
            </w:pPr>
            <w:r/>
            <w:r>
              <w:rPr>
                <w:b/>
                <w:color w:val="FFFFFF"/>
                <w:sz w:val="20"/>
              </w:rPr>
              <w:t>Người chấm</w:t>
            </w:r>
          </w:p>
        </w:tc>
        <w:tc>
          <w:tcPr>
            <w:tcW w:type="dxa" w:w="680"/>
            <w:shd w:val="clear" w:color="auto" w:fill="1C5CAB"/>
          </w:tcPr>
          <w:p>
            <w:pPr>
              <w:spacing w:after="20" w:line="264" w:lineRule="auto"/>
              <w:jc w:val="center"/>
            </w:pPr>
            <w:r/>
            <w:r>
              <w:rPr>
                <w:b/>
                <w:color w:val="FFFFFF"/>
                <w:sz w:val="20"/>
              </w:rPr>
              <w:t>Số cặp</w:t>
            </w:r>
          </w:p>
        </w:tc>
        <w:tc>
          <w:tcPr>
            <w:tcW w:type="dxa" w:w="1247"/>
            <w:shd w:val="clear" w:color="auto" w:fill="1C5CAB"/>
          </w:tcPr>
          <w:p>
            <w:pPr>
              <w:spacing w:after="20" w:line="264" w:lineRule="auto"/>
              <w:jc w:val="center"/>
            </w:pPr>
            <w:r/>
            <w:r>
              <w:rPr>
                <w:b/>
                <w:color w:val="FFFFFF"/>
                <w:sz w:val="20"/>
              </w:rPr>
              <w:t>GraphRAG</w:t>
            </w:r>
          </w:p>
        </w:tc>
        <w:tc>
          <w:tcPr>
            <w:tcW w:type="dxa" w:w="1247"/>
            <w:shd w:val="clear" w:color="auto" w:fill="1C5CAB"/>
          </w:tcPr>
          <w:p>
            <w:pPr>
              <w:spacing w:after="20" w:line="264" w:lineRule="auto"/>
              <w:jc w:val="center"/>
            </w:pPr>
            <w:r/>
            <w:r>
              <w:rPr>
                <w:b/>
                <w:color w:val="FFFFFF"/>
                <w:sz w:val="20"/>
              </w:rPr>
              <w:t>Vector RAG</w:t>
            </w:r>
          </w:p>
        </w:tc>
        <w:tc>
          <w:tcPr>
            <w:tcW w:type="dxa" w:w="2778"/>
            <w:shd w:val="clear" w:color="auto" w:fill="1C5CAB"/>
          </w:tcPr>
          <w:p>
            <w:pPr>
              <w:spacing w:after="20" w:line="264" w:lineRule="auto"/>
              <w:jc w:val="center"/>
            </w:pPr>
            <w:r/>
            <w:r>
              <w:rPr>
                <w:b/>
                <w:color w:val="FFFFFF"/>
                <w:sz w:val="20"/>
              </w:rPr>
              <w:t>Paired difference [CI 95%]</w:t>
            </w:r>
          </w:p>
        </w:tc>
      </w:tr>
      <w:tr>
        <w:trPr>
          <w:cantSplit w:val="true"/>
        </w:trPr>
        <w:tc>
          <w:tcPr>
            <w:tcW w:type="dxa" w:w="1814"/>
          </w:tcPr>
          <w:p>
            <w:pPr>
              <w:spacing w:after="20" w:line="264" w:lineRule="auto"/>
              <w:jc w:val="left"/>
            </w:pPr>
            <w:r>
              <w:rPr>
                <w:b/>
              </w:rPr>
            </w:r>
            <w:r>
              <w:rPr>
                <w:b/>
                <w:sz w:val="20"/>
              </w:rPr>
              <w:t>Retrieval precision</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0,153</w:t>
            </w:r>
          </w:p>
        </w:tc>
        <w:tc>
          <w:tcPr>
            <w:tcW w:type="dxa" w:w="1247"/>
          </w:tcPr>
          <w:p>
            <w:pPr>
              <w:spacing w:after="20" w:line="264" w:lineRule="auto"/>
              <w:jc w:val="center"/>
            </w:pPr>
            <w:r/>
            <w:r>
              <w:rPr>
                <w:sz w:val="20"/>
              </w:rPr>
              <w:t>0,250</w:t>
            </w:r>
          </w:p>
        </w:tc>
        <w:tc>
          <w:tcPr>
            <w:tcW w:type="dxa" w:w="2778"/>
          </w:tcPr>
          <w:p>
            <w:pPr>
              <w:spacing w:after="20" w:line="264" w:lineRule="auto"/>
              <w:jc w:val="center"/>
            </w:pPr>
            <w:r/>
            <w:r>
              <w:rPr>
                <w:sz w:val="20"/>
              </w:rPr>
              <w:t>−0,097 [−0,208; +0,014]</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17</w:t>
            </w:r>
          </w:p>
        </w:tc>
        <w:tc>
          <w:tcPr>
            <w:tcW w:type="dxa" w:w="1247"/>
            <w:shd w:val="clear" w:color="auto" w:fill="F0F5FC"/>
          </w:tcPr>
          <w:p>
            <w:pPr>
              <w:spacing w:after="20" w:line="264" w:lineRule="auto"/>
              <w:jc w:val="center"/>
            </w:pPr>
            <w:r/>
            <w:r>
              <w:rPr>
                <w:sz w:val="20"/>
              </w:rPr>
              <w:t>0,515</w:t>
            </w:r>
          </w:p>
        </w:tc>
        <w:tc>
          <w:tcPr>
            <w:tcW w:type="dxa" w:w="1247"/>
            <w:shd w:val="clear" w:color="auto" w:fill="F0F5FC"/>
          </w:tcPr>
          <w:p>
            <w:pPr>
              <w:spacing w:after="20" w:line="264" w:lineRule="auto"/>
              <w:jc w:val="center"/>
            </w:pPr>
            <w:r/>
            <w:r>
              <w:rPr>
                <w:sz w:val="20"/>
              </w:rPr>
              <w:t>0,549</w:t>
            </w:r>
          </w:p>
        </w:tc>
        <w:tc>
          <w:tcPr>
            <w:tcW w:type="dxa" w:w="2778"/>
            <w:shd w:val="clear" w:color="auto" w:fill="F0F5FC"/>
          </w:tcPr>
          <w:p>
            <w:pPr>
              <w:spacing w:after="20" w:line="264" w:lineRule="auto"/>
              <w:jc w:val="center"/>
            </w:pPr>
            <w:r/>
            <w:r>
              <w:rPr>
                <w:sz w:val="20"/>
              </w:rPr>
              <w:t>−0,034 [−0,176; +0,098]</w:t>
            </w:r>
          </w:p>
        </w:tc>
      </w:tr>
      <w:tr>
        <w:trPr>
          <w:cantSplit w:val="true"/>
        </w:trPr>
        <w:tc>
          <w:tcPr>
            <w:tcW w:type="dxa" w:w="1814"/>
          </w:tcPr>
          <w:p>
            <w:pPr>
              <w:spacing w:after="20" w:line="264" w:lineRule="auto"/>
              <w:jc w:val="left"/>
            </w:pPr>
            <w:r>
              <w:rPr>
                <w:b/>
              </w:rPr>
            </w:r>
            <w:r>
              <w:rPr>
                <w:b/>
                <w:sz w:val="20"/>
              </w:rPr>
              <w:t>Faithfulness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15</w:t>
            </w:r>
          </w:p>
        </w:tc>
        <w:tc>
          <w:tcPr>
            <w:tcW w:type="dxa" w:w="1247"/>
          </w:tcPr>
          <w:p>
            <w:pPr>
              <w:spacing w:after="20" w:line="264" w:lineRule="auto"/>
              <w:jc w:val="center"/>
            </w:pPr>
            <w:r/>
            <w:r>
              <w:rPr>
                <w:sz w:val="20"/>
              </w:rPr>
              <w:t>0,990</w:t>
            </w:r>
          </w:p>
        </w:tc>
        <w:tc>
          <w:tcPr>
            <w:tcW w:type="dxa" w:w="1247"/>
          </w:tcPr>
          <w:p>
            <w:pPr>
              <w:spacing w:after="20" w:line="264" w:lineRule="auto"/>
              <w:jc w:val="center"/>
            </w:pPr>
            <w:r/>
            <w:r>
              <w:rPr>
                <w:sz w:val="20"/>
              </w:rPr>
              <w:t>0,928</w:t>
            </w:r>
          </w:p>
        </w:tc>
        <w:tc>
          <w:tcPr>
            <w:tcW w:type="dxa" w:w="2778"/>
          </w:tcPr>
          <w:p>
            <w:pPr>
              <w:spacing w:after="20" w:line="264" w:lineRule="auto"/>
              <w:jc w:val="center"/>
            </w:pPr>
            <w:r/>
            <w:r>
              <w:rPr>
                <w:b/>
                <w:sz w:val="20"/>
              </w:rPr>
              <w:t>+0,062 [+0,010; +0,138]</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15</w:t>
            </w:r>
          </w:p>
        </w:tc>
        <w:tc>
          <w:tcPr>
            <w:tcW w:type="dxa" w:w="1247"/>
            <w:shd w:val="clear" w:color="auto" w:fill="F0F5FC"/>
          </w:tcPr>
          <w:p>
            <w:pPr>
              <w:spacing w:after="20" w:line="264" w:lineRule="auto"/>
              <w:jc w:val="center"/>
            </w:pPr>
            <w:r/>
            <w:r>
              <w:rPr>
                <w:sz w:val="20"/>
              </w:rPr>
              <w:t>0,844</w:t>
            </w:r>
          </w:p>
        </w:tc>
        <w:tc>
          <w:tcPr>
            <w:tcW w:type="dxa" w:w="1247"/>
            <w:shd w:val="clear" w:color="auto" w:fill="F0F5FC"/>
          </w:tcPr>
          <w:p>
            <w:pPr>
              <w:spacing w:after="20" w:line="264" w:lineRule="auto"/>
              <w:jc w:val="center"/>
            </w:pPr>
            <w:r/>
            <w:r>
              <w:rPr>
                <w:sz w:val="20"/>
              </w:rPr>
              <w:t>0,893</w:t>
            </w:r>
          </w:p>
        </w:tc>
        <w:tc>
          <w:tcPr>
            <w:tcW w:type="dxa" w:w="2778"/>
            <w:shd w:val="clear" w:color="auto" w:fill="F0F5FC"/>
          </w:tcPr>
          <w:p>
            <w:pPr>
              <w:spacing w:after="20" w:line="264" w:lineRule="auto"/>
              <w:jc w:val="center"/>
            </w:pPr>
            <w:r/>
            <w:r>
              <w:rPr>
                <w:sz w:val="20"/>
              </w:rPr>
              <w:t>−0,049 [−0,145; +0,056]</w:t>
            </w:r>
          </w:p>
        </w:tc>
      </w:tr>
      <w:tr>
        <w:trPr>
          <w:cantSplit w:val="true"/>
        </w:trPr>
        <w:tc>
          <w:tcPr>
            <w:tcW w:type="dxa" w:w="1814"/>
          </w:tcPr>
          <w:p>
            <w:pPr>
              <w:spacing w:after="20" w:line="264" w:lineRule="auto"/>
              <w:jc w:val="left"/>
            </w:pPr>
            <w:r>
              <w:rPr>
                <w:b/>
              </w:rPr>
            </w:r>
            <w:r>
              <w:rPr>
                <w:b/>
                <w:sz w:val="20"/>
              </w:rPr>
              <w:t>Hallucination rate</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0,056</w:t>
            </w:r>
          </w:p>
        </w:tc>
        <w:tc>
          <w:tcPr>
            <w:tcW w:type="dxa" w:w="1247"/>
          </w:tcPr>
          <w:p>
            <w:pPr>
              <w:spacing w:after="20" w:line="264" w:lineRule="auto"/>
              <w:jc w:val="center"/>
            </w:pPr>
            <w:r/>
            <w:r>
              <w:rPr>
                <w:sz w:val="20"/>
              </w:rPr>
              <w:t>0,222</w:t>
            </w:r>
          </w:p>
        </w:tc>
        <w:tc>
          <w:tcPr>
            <w:tcW w:type="dxa" w:w="2778"/>
          </w:tcPr>
          <w:p>
            <w:pPr>
              <w:spacing w:after="20" w:line="264" w:lineRule="auto"/>
              <w:jc w:val="center"/>
            </w:pPr>
            <w:r/>
            <w:r>
              <w:rPr>
                <w:sz w:val="20"/>
              </w:rPr>
              <w:t>−0,167 [−0,333; +0,000]</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0,556</w:t>
            </w:r>
          </w:p>
        </w:tc>
        <w:tc>
          <w:tcPr>
            <w:tcW w:type="dxa" w:w="1247"/>
            <w:shd w:val="clear" w:color="auto" w:fill="F0F5FC"/>
          </w:tcPr>
          <w:p>
            <w:pPr>
              <w:spacing w:after="20" w:line="264" w:lineRule="auto"/>
              <w:jc w:val="center"/>
            </w:pPr>
            <w:r/>
            <w:r>
              <w:rPr>
                <w:sz w:val="20"/>
              </w:rPr>
              <w:t>0,389</w:t>
            </w:r>
          </w:p>
        </w:tc>
        <w:tc>
          <w:tcPr>
            <w:tcW w:type="dxa" w:w="2778"/>
            <w:shd w:val="clear" w:color="auto" w:fill="F0F5FC"/>
          </w:tcPr>
          <w:p>
            <w:pPr>
              <w:spacing w:after="20" w:line="264" w:lineRule="auto"/>
              <w:jc w:val="center"/>
            </w:pPr>
            <w:r/>
            <w:r>
              <w:rPr>
                <w:sz w:val="20"/>
              </w:rPr>
              <w:t>+0,167 [−0,111; +0,444]</w:t>
            </w:r>
          </w:p>
        </w:tc>
      </w:tr>
      <w:tr>
        <w:trPr>
          <w:cantSplit w:val="true"/>
        </w:trPr>
        <w:tc>
          <w:tcPr>
            <w:tcW w:type="dxa" w:w="1814"/>
          </w:tcPr>
          <w:p>
            <w:pPr>
              <w:spacing w:after="20" w:line="264" w:lineRule="auto"/>
              <w:jc w:val="left"/>
            </w:pPr>
            <w:r>
              <w:rPr>
                <w:b/>
              </w:rPr>
            </w:r>
            <w:r>
              <w:rPr>
                <w:b/>
                <w:sz w:val="20"/>
              </w:rPr>
              <w:t>Answer correctness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0,333</w:t>
            </w:r>
          </w:p>
        </w:tc>
        <w:tc>
          <w:tcPr>
            <w:tcW w:type="dxa" w:w="1247"/>
          </w:tcPr>
          <w:p>
            <w:pPr>
              <w:spacing w:after="20" w:line="264" w:lineRule="auto"/>
              <w:jc w:val="center"/>
            </w:pPr>
            <w:r/>
            <w:r>
              <w:rPr>
                <w:sz w:val="20"/>
              </w:rPr>
              <w:t>0,500</w:t>
            </w:r>
          </w:p>
        </w:tc>
        <w:tc>
          <w:tcPr>
            <w:tcW w:type="dxa" w:w="2778"/>
          </w:tcPr>
          <w:p>
            <w:pPr>
              <w:spacing w:after="20" w:line="264" w:lineRule="auto"/>
              <w:jc w:val="center"/>
            </w:pPr>
            <w:r/>
            <w:r>
              <w:rPr>
                <w:sz w:val="20"/>
              </w:rPr>
              <w:t>−0,167 [−0,389; +0,056]</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0,833</w:t>
            </w:r>
          </w:p>
        </w:tc>
        <w:tc>
          <w:tcPr>
            <w:tcW w:type="dxa" w:w="1247"/>
            <w:shd w:val="clear" w:color="auto" w:fill="F0F5FC"/>
          </w:tcPr>
          <w:p>
            <w:pPr>
              <w:spacing w:after="20" w:line="264" w:lineRule="auto"/>
              <w:jc w:val="center"/>
            </w:pPr>
            <w:r/>
            <w:r>
              <w:rPr>
                <w:sz w:val="20"/>
              </w:rPr>
              <w:t>0,833</w:t>
            </w:r>
          </w:p>
        </w:tc>
        <w:tc>
          <w:tcPr>
            <w:tcW w:type="dxa" w:w="2778"/>
            <w:shd w:val="clear" w:color="auto" w:fill="F0F5FC"/>
          </w:tcPr>
          <w:p>
            <w:pPr>
              <w:spacing w:after="20" w:line="264" w:lineRule="auto"/>
              <w:jc w:val="center"/>
            </w:pPr>
            <w:r/>
            <w:r>
              <w:rPr>
                <w:sz w:val="20"/>
              </w:rPr>
              <w:t>+0,000 [−0,222; +0,222]</w:t>
            </w:r>
          </w:p>
        </w:tc>
      </w:tr>
    </w:tbl>
    <w:p>
      <w:pPr>
        <w:spacing w:after="40"/>
      </w:pPr>
    </w:p>
    <w:p>
      <w:pPr>
        <w:ind w:firstLine="567"/>
      </w:pPr>
      <w:r>
        <w:t>Trên mẫu này, nhãn human judge cho cùng hướng với kết luận chính về retrieval precision (GraphRAG thấp hơn: −0,097 [−0,208; +0,014], n = 18 cặp, chưa có statistical significance do mẫu nhỏ), còn ở answer correctness và hallucination rate vẫn không đủ bằng chứng để phân biệt hai hệ. Khác biệt duy nhất có statistical significance theo nhãn human judge là faithfulness: GraphRAG cao hơn (+0,062 [+0,010; +0,138], n = 15 cặp), trong khi judge không phát hiện khác biệt này; vì mẫu nhỏ và đây là một trong nhiều so sánh, kết quả này chỉ mang tính gợi ý.</w:t>
      </w:r>
    </w:p>
    <w:p>
      <w:pPr>
        <w:ind w:firstLine="567"/>
      </w:pPr>
      <w:r>
        <w:t>Lần chấm tay sau, trên 100 câu trả lời của nội dung 1, 3 và 4 (cùng cách chấm claim và độ đúng, không chấm passage), cho cùng chiều lệch: judge gắn hallucination 62% số câu trả lời so với 18% của người chấm, và cho đúng 94% so với 76%. Gộp cả hai lần (132 câu trả lời), κ là 0,19 cho hallucination và 0,20 cho độ đúng, nên sai lệch ở mục này không phải do mẫu 36 câu tình cờ. Riêng câu multi-hop, người chấm cho đúng ở nội dung 2 ít hơn hẳn lần sau (24% so với 56%); nguyên nhân có thể là câu hỏi của nội dung 2 khó hơn hoặc tiêu chuẩn chấm thay đổi giữa hai lần, và với một người chấm thì chưa tách được hai khả năng này.</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sinh câu trả lời bằng Llama 3.1-70B) là 68,18% với RAG và 65,44% với GraphRAG local search (với Llama 3.1-8B: 64,78% và 63,01%);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với Llama 3.1-70B; 61,66% so với 60,04% với Llama 3.1-8B).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34%.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chấm nhất quán giữa các lần (mục 8.4) nhưng agreement với human judge thấp (mục 8.5).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truy xuất kém hơn Vector RAG. Hướng của kết luận này được các chỉ số không qua judge ủng hộ (lấy được gold chunk ở 44% so với 78% câu single-hop; có đủ hai bài nguồn ở 31% so với 63% câu multi-hop), còn độ lớn đo bằng retrieval precision (0,50 so với 0,63, có statistical significance sau hiệu chỉnh Holm, chủ yếu ở câu multi-hop) phụ thuộc vào judge, mà ở bước chấm passage judge có agreement rất thấp với human judge (mục 8.5). Về generation quality, không đủ bằng chứng để phân biệt hai hệ theo judge (không paired difference nào có statistical significance, CI còn rộng, ví dụ answer correctness −3,2 điểm % [−14,5; +8,1]). Trên mẫu chấm tay, nhãn human judge lại cho hướng ngược với judge ở faithfulness và hallucination rate (GraphRAG tốt hơn theo human judge, kém hơn theo judge; mục 8.5); đây chỉ là gợi ý trên 15–18 cặp, nhưng cho thấy kết luận về generation quality chưa chắc chắn. Cả hai hệ đều refuse đúng toàn bộ 23 câu out-of-corpus. Các kết luận này chỉ áp dụng cho câu hỏi sự kiện, tập 30 bài không chọn ngẫu nhiên (7 bài bổ sung; kết luận về truy xuất vẫn đúng khi bỏ các câu dùng bài bổ sung, mục 8.3), KG thưa (average degree 2,2),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ghép context của RAG và GraphRAG cải thiện 6,4% so với phương pháp tốt nhất trên MultiHop-RAG với Llama 3.1-70B)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(v1: 02/2025; số liệu F1 trích ở đây có trong Bảng 1 của v1 và Bảng 8, 20 của v3; chi tiết dựng KG bằng GPT-4o-mini lấy từ v3).</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