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30"/>
        </w:rPr>
        <w:t>ĐỒ ÁN TỐT NGHIỆP</w:t>
      </w:r>
    </w:p>
    <w:p/>
    <w:p>
      <w:pPr>
        <w:jc w:val="center"/>
      </w:pPr>
      <w:r>
        <w:rPr>
          <w:color w:val="52514E"/>
          <w:sz w:val="28"/>
        </w:rPr>
        <w:t>NỘI DUNG 3</w:t>
      </w:r>
    </w:p>
    <w:p>
      <w:pPr>
        <w:jc w:val="center"/>
      </w:pPr>
      <w:r>
        <w:rPr>
          <w:b/>
          <w:color w:val="1C5CAB"/>
          <w:sz w:val="44"/>
        </w:rPr>
        <w:t>Knowledge Graph từ k = 10, 20, 30 bài báo</w:t>
      </w:r>
    </w:p>
    <w:p>
      <w:pPr>
        <w:jc w:val="center"/>
      </w:pPr>
      <w:r>
        <w:rPr>
          <w:i/>
          <w:sz w:val="28"/>
        </w:rPr>
        <w:t>Chất lượng KG (entity coverage, relation completeness) và chất lượng câu trả lời: k bài báo có đủ để KG hoạt động tốt không</w:t>
      </w:r>
    </w:p>
    <w:p/>
    <w:p/>
    <w:p/>
    <w:p/>
    <w:p/>
    <w:p/>
    <w:p/>
    <w:p/>
    <w:p/>
    <w:p/>
    <w:p>
      <w:pPr>
        <w:jc w:val="center"/>
      </w:pPr>
      <w:r>
        <w:rPr>
          <w:color w:val="52514E"/>
          <w:sz w:val="26"/>
        </w:rPr>
        <w:t>Tháng 10 năm 2026</w:t>
      </w:r>
    </w:p>
    <w:p>
      <w:r>
        <w:br w:type="page"/>
      </w:r>
    </w:p>
    <w:p>
      <w:pPr>
        <w:pStyle w:val="Heading1"/>
      </w:pPr>
      <w:r>
        <w:t>1. MỤC TIÊU VÀ PHẠM VI</w:t>
      </w:r>
    </w:p>
    <w:p>
      <w:pPr>
        <w:ind w:firstLine="567"/>
      </w:pPr>
      <w:r>
        <w:t xml:space="preserve">Nội dung 3 thử nghiệm Knowledge Graph (KG) dựng từ </w:t>
      </w:r>
      <w:r>
        <w:rPr>
          <w:b/>
        </w:rPr>
        <w:t>k = 10, 20 và 30 bài báo</w:t>
      </w:r>
      <w:r>
        <w:t xml:space="preserve"> để trả lời câu hỏi: k bài báo có đủ để KG hoạt động tốt không. Hai nhóm chỉ số được đo với mỗi k:</w:t>
      </w:r>
    </w:p>
    <w:p>
      <w:pPr>
        <w:pStyle w:val="ListBullet"/>
        <w:spacing w:after="60"/>
      </w:pPr>
      <w:r>
        <w:rPr>
          <w:b/>
        </w:rPr>
        <w:t xml:space="preserve">Chất lượng KG: </w:t>
      </w:r>
      <w:r>
        <w:rPr>
          <w:b/>
        </w:rPr>
        <w:t>entity coverage</w:t>
      </w:r>
      <w:r>
        <w:t xml:space="preserve"> (tỉ lệ entity cần để trả lời câu hỏi có trong KG) và </w:t>
      </w:r>
      <w:r>
        <w:rPr>
          <w:b/>
        </w:rPr>
        <w:t>relation completeness</w:t>
      </w:r>
      <w:r>
        <w:t xml:space="preserve"> (tỉ lệ relation giữa các entity đó có trong KG), kèm các chỉ số cấu trúc của đồ thị.</w:t>
      </w:r>
    </w:p>
    <w:p>
      <w:pPr>
        <w:pStyle w:val="ListBullet"/>
        <w:spacing w:after="60"/>
      </w:pPr>
      <w:r>
        <w:rPr>
          <w:b/>
        </w:rPr>
        <w:t xml:space="preserve">Chất lượng câu trả lời: </w:t>
      </w:r>
      <w:r>
        <w:t>hệ GraphRAG của nội dung 2 chạy trên từng KG, chấm bằng đúng năm chỉ số của nội dung 2: retrieval precision, faithfulness, answer relevancy, hallucination rate, answer correctness.</w:t>
      </w:r>
    </w:p>
    <w:p>
      <w:pPr>
        <w:ind w:firstLine="567"/>
      </w:pPr>
      <w:r>
        <w:t xml:space="preserve">Ba KG được dựng </w:t>
      </w:r>
      <w:r>
        <w:rPr>
          <w:b/>
        </w:rPr>
        <w:t>lồng nhau</w:t>
      </w:r>
      <w:r>
        <w:t>: KG10 từ 10 bài đầu, KG20 từ 20 bài đầu, KG30 từ cả 30 bài chủ đề quantum của nội dung 2, theo thứ tự bài đã cố định trước ở nội dung 2. Cả ba dùng chung một lần trích xuất entity/relation cho từng chunk, cùng cách gộp entity, cùng hệ GraphRAG, cùng prompt và mô hình; khác biệt giữa các k chỉ đến từ số bài báo có trong KG.</w:t>
      </w:r>
    </w:p>
    <w:p>
      <w:pPr>
        <w:pStyle w:val="Heading1"/>
      </w:pPr>
      <w:r>
        <w:t>2. MÔI TRƯỜNG VÀ REPRODUCIBILITY</w:t>
      </w:r>
    </w:p>
    <w:p>
      <w:pPr>
        <w:pStyle w:val="Caption"/>
        <w:keepNext/>
        <w:jc w:val="center"/>
      </w:pPr>
      <w:r>
        <w:t>Bảng 1. Môi trường thực nghiệm (như nội dung 2)</w:t>
      </w:r>
    </w:p>
    <w:tbl>
      <w:tblPr>
        <w:tblStyle w:val="TableGrid"/>
        <w:tblW w:type="auto" w:w="0"/>
        <w:jc w:val="center"/>
        <w:tblLayout w:type="fixed"/>
        <w:tblLook w:firstColumn="1" w:firstRow="1" w:lastColumn="0" w:lastRow="0" w:noHBand="0" w:noVBand="1" w:val="04A0"/>
      </w:tblPr>
      <w:tblGrid>
        <w:gridCol w:w="4535"/>
        <w:gridCol w:w="4535"/>
      </w:tblGrid>
      <w:tr>
        <w:trPr>
          <w:tblHeader w:val="true"/>
          <w:cantSplit w:val="true"/>
        </w:trPr>
        <w:tc>
          <w:tcPr>
            <w:tcW w:type="dxa" w:w="3402"/>
            <w:shd w:val="clear" w:color="auto" w:fill="1C5CAB"/>
          </w:tcPr>
          <w:p>
            <w:pPr>
              <w:spacing w:after="20" w:line="264" w:lineRule="auto"/>
              <w:jc w:val="center"/>
            </w:pPr>
            <w:r/>
            <w:r>
              <w:rPr>
                <w:b/>
                <w:color w:val="FFFFFF"/>
                <w:sz w:val="22"/>
              </w:rPr>
              <w:t>Thành phần</w:t>
            </w:r>
          </w:p>
        </w:tc>
        <w:tc>
          <w:tcPr>
            <w:tcW w:type="dxa" w:w="5669"/>
            <w:shd w:val="clear" w:color="auto" w:fill="1C5CAB"/>
          </w:tcPr>
          <w:p>
            <w:pPr>
              <w:spacing w:after="20" w:line="264" w:lineRule="auto"/>
              <w:jc w:val="center"/>
            </w:pPr>
            <w:r/>
            <w:r>
              <w:rPr>
                <w:b/>
                <w:color w:val="FFFFFF"/>
                <w:sz w:val="22"/>
              </w:rPr>
              <w:t>Version / cấu hình</w:t>
            </w:r>
          </w:p>
        </w:tc>
      </w:tr>
      <w:tr>
        <w:trPr>
          <w:cantSplit w:val="true"/>
        </w:trPr>
        <w:tc>
          <w:tcPr>
            <w:tcW w:type="dxa" w:w="3402"/>
          </w:tcPr>
          <w:p>
            <w:pPr>
              <w:spacing w:after="20" w:line="264" w:lineRule="auto"/>
              <w:jc w:val="left"/>
            </w:pPr>
            <w:r>
              <w:rPr>
                <w:b/>
              </w:rPr>
            </w:r>
            <w:r>
              <w:rPr>
                <w:b/>
                <w:sz w:val="22"/>
              </w:rPr>
              <w:t>Python</w:t>
            </w:r>
          </w:p>
        </w:tc>
        <w:tc>
          <w:tcPr>
            <w:tcW w:type="dxa" w:w="5669"/>
          </w:tcPr>
          <w:p>
            <w:pPr>
              <w:spacing w:after="20" w:line="264" w:lineRule="auto"/>
              <w:jc w:val="left"/>
            </w:pPr>
            <w:r/>
            <w:r>
              <w:rPr>
                <w:sz w:val="22"/>
              </w:rPr>
              <w:t>3.14.6</w:t>
            </w:r>
          </w:p>
        </w:tc>
      </w:tr>
      <w:tr>
        <w:trPr>
          <w:cantSplit w:val="true"/>
        </w:trPr>
        <w:tc>
          <w:tcPr>
            <w:tcW w:type="dxa" w:w="3402"/>
            <w:shd w:val="clear" w:color="auto" w:fill="F0F5FC"/>
          </w:tcPr>
          <w:p>
            <w:pPr>
              <w:spacing w:after="20" w:line="264" w:lineRule="auto"/>
              <w:jc w:val="left"/>
            </w:pPr>
            <w:r>
              <w:rPr>
                <w:b/>
              </w:rPr>
            </w:r>
            <w:r>
              <w:rPr>
                <w:b/>
                <w:sz w:val="22"/>
              </w:rPr>
              <w:t>langchain / langchain-core</w:t>
            </w:r>
          </w:p>
        </w:tc>
        <w:tc>
          <w:tcPr>
            <w:tcW w:type="dxa" w:w="5669"/>
            <w:shd w:val="clear" w:color="auto" w:fill="F0F5FC"/>
          </w:tcPr>
          <w:p>
            <w:pPr>
              <w:spacing w:after="20" w:line="264" w:lineRule="auto"/>
              <w:jc w:val="left"/>
            </w:pPr>
            <w:r/>
            <w:r>
              <w:rPr>
                <w:sz w:val="22"/>
              </w:rPr>
              <w:t>1.4.3 / 1.6.6</w:t>
            </w:r>
          </w:p>
        </w:tc>
      </w:tr>
      <w:tr>
        <w:trPr>
          <w:cantSplit w:val="true"/>
        </w:trPr>
        <w:tc>
          <w:tcPr>
            <w:tcW w:type="dxa" w:w="3402"/>
          </w:tcPr>
          <w:p>
            <w:pPr>
              <w:spacing w:after="20" w:line="264" w:lineRule="auto"/>
              <w:jc w:val="left"/>
            </w:pPr>
            <w:r>
              <w:rPr>
                <w:b/>
              </w:rPr>
            </w:r>
            <w:r>
              <w:rPr>
                <w:b/>
                <w:sz w:val="22"/>
              </w:rPr>
              <w:t>langchain-ollama</w:t>
            </w:r>
          </w:p>
        </w:tc>
        <w:tc>
          <w:tcPr>
            <w:tcW w:type="dxa" w:w="5669"/>
          </w:tcPr>
          <w:p>
            <w:pPr>
              <w:spacing w:after="20" w:line="264" w:lineRule="auto"/>
              <w:jc w:val="left"/>
            </w:pPr>
            <w:r/>
            <w:r>
              <w:rPr>
                <w:sz w:val="22"/>
              </w:rPr>
              <w:t>1.1.0</w:t>
            </w:r>
          </w:p>
        </w:tc>
      </w:tr>
      <w:tr>
        <w:trPr>
          <w:cantSplit w:val="true"/>
        </w:trPr>
        <w:tc>
          <w:tcPr>
            <w:tcW w:type="dxa" w:w="3402"/>
            <w:shd w:val="clear" w:color="auto" w:fill="F0F5FC"/>
          </w:tcPr>
          <w:p>
            <w:pPr>
              <w:spacing w:after="20" w:line="264" w:lineRule="auto"/>
              <w:jc w:val="left"/>
            </w:pPr>
            <w:r>
              <w:rPr>
                <w:b/>
              </w:rPr>
            </w:r>
            <w:r>
              <w:rPr>
                <w:b/>
                <w:sz w:val="22"/>
              </w:rPr>
              <w:t>Ollama server</w:t>
            </w:r>
          </w:p>
        </w:tc>
        <w:tc>
          <w:tcPr>
            <w:tcW w:type="dxa" w:w="5669"/>
            <w:shd w:val="clear" w:color="auto" w:fill="F0F5FC"/>
          </w:tcPr>
          <w:p>
            <w:pPr>
              <w:spacing w:after="20" w:line="264" w:lineRule="auto"/>
              <w:jc w:val="left"/>
            </w:pPr>
            <w:r/>
            <w:r>
              <w:rPr>
                <w:sz w:val="22"/>
              </w:rPr>
              <w:t>0.35.1</w:t>
            </w:r>
          </w:p>
        </w:tc>
      </w:tr>
      <w:tr>
        <w:trPr>
          <w:cantSplit w:val="true"/>
        </w:trPr>
        <w:tc>
          <w:tcPr>
            <w:tcW w:type="dxa" w:w="3402"/>
          </w:tcPr>
          <w:p>
            <w:pPr>
              <w:spacing w:after="20" w:line="264" w:lineRule="auto"/>
              <w:jc w:val="left"/>
            </w:pPr>
            <w:r>
              <w:rPr>
                <w:b/>
              </w:rPr>
            </w:r>
            <w:r>
              <w:rPr>
                <w:b/>
                <w:sz w:val="22"/>
              </w:rPr>
              <w:t>LLM trích xuất KG và sinh câu trả lời</w:t>
            </w:r>
          </w:p>
        </w:tc>
        <w:tc>
          <w:tcPr>
            <w:tcW w:type="dxa" w:w="5669"/>
          </w:tcPr>
          <w:p>
            <w:pPr>
              <w:spacing w:after="20" w:line="264" w:lineRule="auto"/>
              <w:jc w:val="left"/>
            </w:pPr>
            <w:r/>
            <w:r>
              <w:rPr>
                <w:sz w:val="22"/>
              </w:rPr>
              <w:t>qwen2.5:7b (Q4_K_M, digest 845dbda0ea48)</w:t>
            </w:r>
          </w:p>
        </w:tc>
      </w:tr>
      <w:tr>
        <w:trPr>
          <w:cantSplit w:val="true"/>
        </w:trPr>
        <w:tc>
          <w:tcPr>
            <w:tcW w:type="dxa" w:w="3402"/>
            <w:shd w:val="clear" w:color="auto" w:fill="F0F5FC"/>
          </w:tcPr>
          <w:p>
            <w:pPr>
              <w:spacing w:after="20" w:line="264" w:lineRule="auto"/>
              <w:jc w:val="left"/>
            </w:pPr>
            <w:r>
              <w:rPr>
                <w:b/>
              </w:rPr>
            </w:r>
            <w:r>
              <w:rPr>
                <w:b/>
                <w:sz w:val="22"/>
              </w:rPr>
              <w:t>Judge</w:t>
            </w:r>
          </w:p>
        </w:tc>
        <w:tc>
          <w:tcPr>
            <w:tcW w:type="dxa" w:w="5669"/>
            <w:shd w:val="clear" w:color="auto" w:fill="F0F5FC"/>
          </w:tcPr>
          <w:p>
            <w:pPr>
              <w:spacing w:after="20" w:line="264" w:lineRule="auto"/>
              <w:jc w:val="left"/>
            </w:pPr>
            <w:r/>
            <w:r>
              <w:rPr>
                <w:sz w:val="22"/>
              </w:rPr>
              <w:t>llama3.1:8b (Q4_K_M, digest 46e0c10c039e)</w:t>
            </w:r>
          </w:p>
        </w:tc>
      </w:tr>
      <w:tr>
        <w:trPr>
          <w:cantSplit w:val="true"/>
        </w:trPr>
        <w:tc>
          <w:tcPr>
            <w:tcW w:type="dxa" w:w="3402"/>
          </w:tcPr>
          <w:p>
            <w:pPr>
              <w:spacing w:after="20" w:line="264" w:lineRule="auto"/>
              <w:jc w:val="left"/>
            </w:pPr>
            <w:r>
              <w:rPr>
                <w:b/>
              </w:rPr>
            </w:r>
            <w:r>
              <w:rPr>
                <w:b/>
                <w:sz w:val="22"/>
              </w:rPr>
              <w:t>Embedding model</w:t>
            </w:r>
          </w:p>
        </w:tc>
        <w:tc>
          <w:tcPr>
            <w:tcW w:type="dxa" w:w="5669"/>
          </w:tcPr>
          <w:p>
            <w:pPr>
              <w:spacing w:after="20" w:line="264" w:lineRule="auto"/>
              <w:jc w:val="left"/>
            </w:pPr>
            <w:r/>
            <w:r>
              <w:rPr>
                <w:sz w:val="22"/>
              </w:rPr>
              <w:t>nomic-embed-text (F16, digest 0a109f422b47)</w:t>
            </w:r>
          </w:p>
        </w:tc>
      </w:tr>
      <w:tr>
        <w:trPr>
          <w:cantSplit w:val="true"/>
        </w:trPr>
        <w:tc>
          <w:tcPr>
            <w:tcW w:type="dxa" w:w="3402"/>
            <w:shd w:val="clear" w:color="auto" w:fill="F0F5FC"/>
          </w:tcPr>
          <w:p>
            <w:pPr>
              <w:spacing w:after="20" w:line="264" w:lineRule="auto"/>
              <w:jc w:val="left"/>
            </w:pPr>
            <w:r>
              <w:rPr>
                <w:b/>
              </w:rPr>
            </w:r>
            <w:r>
              <w:rPr>
                <w:b/>
                <w:sz w:val="22"/>
              </w:rPr>
              <w:t>Phần cứng</w:t>
            </w:r>
          </w:p>
        </w:tc>
        <w:tc>
          <w:tcPr>
            <w:tcW w:type="dxa" w:w="5669"/>
            <w:shd w:val="clear" w:color="auto" w:fill="F0F5FC"/>
          </w:tcPr>
          <w:p>
            <w:pPr>
              <w:spacing w:after="20" w:line="264" w:lineRule="auto"/>
              <w:jc w:val="left"/>
            </w:pPr>
            <w:r/>
            <w:r>
              <w:rPr>
                <w:sz w:val="22"/>
              </w:rPr>
              <w:t>CPU i3-12100F, RAM 16 GB, GPU GTX 1660 Ti 6 GB</w:t>
            </w:r>
          </w:p>
        </w:tc>
      </w:tr>
    </w:tbl>
    <w:p>
      <w:pPr>
        <w:spacing w:after="40"/>
      </w:pPr>
    </w:p>
    <w:p>
      <w:pPr>
        <w:ind w:firstLine="567"/>
      </w:pPr>
      <w:r>
        <w:t xml:space="preserve">Mã và dữ liệu của nội dung 3 chỉ được thêm mới, không sửa file nào của nội dung 1 và 2: </w:t>
      </w:r>
      <w:r>
        <w:rPr>
          <w:rFonts w:ascii="Consolas" w:hAnsi="Consolas"/>
        </w:rPr>
        <w:t>kg_quality.py</w:t>
      </w:r>
      <w:r>
        <w:t xml:space="preserve"> (chất lượng KG), </w:t>
      </w:r>
      <w:r>
        <w:rPr>
          <w:rFonts w:ascii="Consolas" w:hAnsi="Consolas"/>
        </w:rPr>
        <w:t>evaluate_kg_scale.py</w:t>
      </w:r>
      <w:r>
        <w:t xml:space="preserve"> (chất lượng câu trả lời theo k), </w:t>
      </w:r>
      <w:r>
        <w:rPr>
          <w:rFonts w:ascii="Consolas" w:hAnsi="Consolas"/>
        </w:rPr>
        <w:t>data/kg/k10/</w:t>
      </w:r>
      <w:r>
        <w:t xml:space="preserve"> và </w:t>
      </w:r>
      <w:r>
        <w:rPr>
          <w:rFonts w:ascii="Consolas" w:hAnsi="Consolas"/>
        </w:rPr>
        <w:t>data/kg/k20/</w:t>
      </w:r>
      <w:r>
        <w:t xml:space="preserve"> (KG10, KG20 dựng bằng lệnh có sẵn </w:t>
      </w:r>
      <w:r>
        <w:rPr>
          <w:rFonts w:ascii="Consolas" w:hAnsi="Consolas"/>
        </w:rPr>
        <w:t>python kg_build.py --build --k 10</w:t>
      </w:r>
      <w:r>
        <w:t xml:space="preserve"> / </w:t>
      </w:r>
      <w:r>
        <w:rPr>
          <w:rFonts w:ascii="Consolas" w:hAnsi="Consolas"/>
        </w:rPr>
        <w:t>--k 20</w:t>
      </w:r>
      <w:r>
        <w:t xml:space="preserve">; KG30 là KG của nội dung 2), gold set đánh giá KG </w:t>
      </w:r>
      <w:r>
        <w:rPr>
          <w:rFonts w:ascii="Consolas" w:hAnsi="Consolas"/>
        </w:rPr>
        <w:t>testset/kg_gold.json</w:t>
      </w:r>
      <w:r>
        <w:t xml:space="preserve"> (kèm bản trích tự động </w:t>
      </w:r>
      <w:r>
        <w:rPr>
          <w:rFonts w:ascii="Consolas" w:hAnsi="Consolas"/>
        </w:rPr>
        <w:t>kg_gold_raw.json</w:t>
      </w:r>
      <w:r>
        <w:t xml:space="preserve"> và kết quả duyệt tay </w:t>
      </w:r>
      <w:r>
        <w:rPr>
          <w:rFonts w:ascii="Consolas" w:hAnsi="Consolas"/>
        </w:rPr>
        <w:t>review_kg_gold.py</w:t>
      </w:r>
      <w:r>
        <w:t xml:space="preserve">), kết quả trong </w:t>
      </w:r>
      <w:r>
        <w:rPr>
          <w:rFonts w:ascii="Consolas" w:hAnsi="Consolas"/>
        </w:rPr>
        <w:t>results/kg_scale/</w:t>
      </w:r>
      <w:r>
        <w:t xml:space="preserve">. Chạy lại: </w:t>
      </w:r>
      <w:r>
        <w:rPr>
          <w:rFonts w:ascii="Consolas" w:hAnsi="Consolas"/>
        </w:rPr>
        <w:t>python kg_quality.py --all</w:t>
      </w:r>
      <w:r>
        <w:t xml:space="preserve"> và </w:t>
      </w:r>
      <w:r>
        <w:rPr>
          <w:rFonts w:ascii="Consolas" w:hAnsi="Consolas"/>
        </w:rPr>
        <w:t>python evaluate_kg_scale.py</w:t>
      </w:r>
      <w:r>
        <w:t xml:space="preserve">. Kết quả GraphRAG với KG30 lấy lại từ </w:t>
      </w:r>
      <w:r>
        <w:rPr>
          <w:rFonts w:ascii="Consolas" w:hAnsi="Consolas"/>
        </w:rPr>
        <w:t>results/kg30/</w:t>
      </w:r>
      <w:r>
        <w:t xml:space="preserve"> của nội dung 2 (cùng mã, cùng KG, cùng câu hỏi).</w:t>
      </w:r>
    </w:p>
    <w:p>
      <w:pPr>
        <w:pStyle w:val="Heading1"/>
      </w:pPr>
      <w:r>
        <w:t>3. THIẾT KẾ THỰC NGHIỆM</w:t>
      </w:r>
    </w:p>
    <w:p>
      <w:pPr>
        <w:pStyle w:val="Heading2"/>
      </w:pPr>
      <w:r>
        <w:t>3.1. Ba KG lồng nhau</w:t>
      </w:r>
    </w:p>
    <w:p>
      <w:pPr>
        <w:pStyle w:val="Caption"/>
        <w:keepNext/>
        <w:jc w:val="center"/>
      </w:pPr>
      <w:r>
        <w:t>Bảng 2. Số bài và chunk của ba KG</w:t>
      </w:r>
    </w:p>
    <w:tbl>
      <w:tblPr>
        <w:tblStyle w:val="TableGrid"/>
        <w:tblW w:type="auto" w:w="0"/>
        <w:jc w:val="center"/>
        <w:tblLayout w:type="fixed"/>
        <w:tblLook w:firstColumn="1" w:firstRow="1" w:lastColumn="0" w:lastRow="0" w:noHBand="0" w:noVBand="1" w:val="04A0"/>
      </w:tblPr>
      <w:tblGrid>
        <w:gridCol w:w="1814"/>
        <w:gridCol w:w="1814"/>
        <w:gridCol w:w="1814"/>
        <w:gridCol w:w="1814"/>
        <w:gridCol w:w="1814"/>
      </w:tblGrid>
      <w:tr>
        <w:trPr>
          <w:tblHeader w:val="true"/>
          <w:cantSplit w:val="true"/>
        </w:trPr>
        <w:tc>
          <w:tcPr>
            <w:tcW w:type="dxa" w:w="1417"/>
            <w:shd w:val="clear" w:color="auto" w:fill="1C5CAB"/>
          </w:tcPr>
          <w:p>
            <w:pPr>
              <w:spacing w:after="20" w:line="264" w:lineRule="auto"/>
              <w:jc w:val="center"/>
            </w:pPr>
            <w:r/>
            <w:r>
              <w:rPr>
                <w:b/>
                <w:color w:val="FFFFFF"/>
                <w:sz w:val="22"/>
              </w:rPr>
              <w:t>KG</w:t>
            </w:r>
          </w:p>
        </w:tc>
        <w:tc>
          <w:tcPr>
            <w:tcW w:type="dxa" w:w="1871"/>
            <w:shd w:val="clear" w:color="auto" w:fill="1C5CAB"/>
          </w:tcPr>
          <w:p>
            <w:pPr>
              <w:spacing w:after="20" w:line="264" w:lineRule="auto"/>
              <w:jc w:val="center"/>
            </w:pPr>
            <w:r/>
            <w:r>
              <w:rPr>
                <w:b/>
                <w:color w:val="FFFFFF"/>
                <w:sz w:val="22"/>
              </w:rPr>
              <w:t>Quantum Security</w:t>
            </w:r>
          </w:p>
        </w:tc>
        <w:tc>
          <w:tcPr>
            <w:tcW w:type="dxa" w:w="1701"/>
            <w:shd w:val="clear" w:color="auto" w:fill="1C5CAB"/>
          </w:tcPr>
          <w:p>
            <w:pPr>
              <w:spacing w:after="20" w:line="264" w:lineRule="auto"/>
              <w:jc w:val="center"/>
            </w:pPr>
            <w:r/>
            <w:r>
              <w:rPr>
                <w:b/>
                <w:color w:val="FFFFFF"/>
                <w:sz w:val="22"/>
              </w:rPr>
              <w:t>Quantum ML</w:t>
            </w:r>
          </w:p>
        </w:tc>
        <w:tc>
          <w:tcPr>
            <w:tcW w:type="dxa" w:w="2268"/>
            <w:shd w:val="clear" w:color="auto" w:fill="1C5CAB"/>
          </w:tcPr>
          <w:p>
            <w:pPr>
              <w:spacing w:after="20" w:line="264" w:lineRule="auto"/>
              <w:jc w:val="center"/>
            </w:pPr>
            <w:r/>
            <w:r>
              <w:rPr>
                <w:b/>
                <w:color w:val="FFFFFF"/>
                <w:sz w:val="22"/>
              </w:rPr>
              <w:t>Trong đó: bài bổ sung</w:t>
            </w:r>
          </w:p>
        </w:tc>
        <w:tc>
          <w:tcPr>
            <w:tcW w:type="dxa" w:w="1814"/>
            <w:shd w:val="clear" w:color="auto" w:fill="1C5CAB"/>
          </w:tcPr>
          <w:p>
            <w:pPr>
              <w:spacing w:after="20" w:line="264" w:lineRule="auto"/>
              <w:jc w:val="center"/>
            </w:pPr>
            <w:r/>
            <w:r>
              <w:rPr>
                <w:b/>
                <w:color w:val="FFFFFF"/>
                <w:sz w:val="22"/>
              </w:rPr>
              <w:t>Số chunk</w:t>
            </w:r>
          </w:p>
        </w:tc>
      </w:tr>
      <w:tr>
        <w:trPr>
          <w:cantSplit w:val="true"/>
        </w:trPr>
        <w:tc>
          <w:tcPr>
            <w:tcW w:type="dxa" w:w="1417"/>
          </w:tcPr>
          <w:p>
            <w:pPr>
              <w:spacing w:after="20" w:line="264" w:lineRule="auto"/>
              <w:jc w:val="left"/>
            </w:pPr>
            <w:r>
              <w:rPr>
                <w:b/>
              </w:rPr>
            </w:r>
            <w:r>
              <w:rPr>
                <w:b/>
                <w:sz w:val="22"/>
              </w:rPr>
              <w:t>KG10</w:t>
            </w:r>
          </w:p>
        </w:tc>
        <w:tc>
          <w:tcPr>
            <w:tcW w:type="dxa" w:w="1871"/>
          </w:tcPr>
          <w:p>
            <w:pPr>
              <w:spacing w:after="20" w:line="264" w:lineRule="auto"/>
              <w:jc w:val="center"/>
            </w:pPr>
            <w:r/>
            <w:r>
              <w:rPr>
                <w:sz w:val="22"/>
              </w:rPr>
              <w:t>7</w:t>
            </w:r>
          </w:p>
        </w:tc>
        <w:tc>
          <w:tcPr>
            <w:tcW w:type="dxa" w:w="1701"/>
          </w:tcPr>
          <w:p>
            <w:pPr>
              <w:spacing w:after="20" w:line="264" w:lineRule="auto"/>
              <w:jc w:val="center"/>
            </w:pPr>
            <w:r/>
            <w:r>
              <w:rPr>
                <w:sz w:val="22"/>
              </w:rPr>
              <w:t>3</w:t>
            </w:r>
          </w:p>
        </w:tc>
        <w:tc>
          <w:tcPr>
            <w:tcW w:type="dxa" w:w="2268"/>
          </w:tcPr>
          <w:p>
            <w:pPr>
              <w:spacing w:after="20" w:line="264" w:lineRule="auto"/>
              <w:jc w:val="center"/>
            </w:pPr>
            <w:r/>
            <w:r>
              <w:rPr>
                <w:sz w:val="22"/>
              </w:rPr>
              <w:t>1</w:t>
            </w:r>
          </w:p>
        </w:tc>
        <w:tc>
          <w:tcPr>
            <w:tcW w:type="dxa" w:w="1814"/>
          </w:tcPr>
          <w:p>
            <w:pPr>
              <w:spacing w:after="20" w:line="264" w:lineRule="auto"/>
              <w:jc w:val="center"/>
            </w:pPr>
            <w:r/>
            <w:r>
              <w:rPr>
                <w:sz w:val="22"/>
              </w:rPr>
              <w:t>854</w:t>
            </w:r>
          </w:p>
        </w:tc>
      </w:tr>
      <w:tr>
        <w:trPr>
          <w:cantSplit w:val="true"/>
        </w:trPr>
        <w:tc>
          <w:tcPr>
            <w:tcW w:type="dxa" w:w="1417"/>
            <w:shd w:val="clear" w:color="auto" w:fill="F0F5FC"/>
          </w:tcPr>
          <w:p>
            <w:pPr>
              <w:spacing w:after="20" w:line="264" w:lineRule="auto"/>
              <w:jc w:val="left"/>
            </w:pPr>
            <w:r>
              <w:rPr>
                <w:b/>
              </w:rPr>
            </w:r>
            <w:r>
              <w:rPr>
                <w:b/>
                <w:sz w:val="22"/>
              </w:rPr>
              <w:t>KG20</w:t>
            </w:r>
          </w:p>
        </w:tc>
        <w:tc>
          <w:tcPr>
            <w:tcW w:type="dxa" w:w="1871"/>
            <w:shd w:val="clear" w:color="auto" w:fill="F0F5FC"/>
          </w:tcPr>
          <w:p>
            <w:pPr>
              <w:spacing w:after="20" w:line="264" w:lineRule="auto"/>
              <w:jc w:val="center"/>
            </w:pPr>
            <w:r/>
            <w:r>
              <w:rPr>
                <w:sz w:val="22"/>
              </w:rPr>
              <w:t>14</w:t>
            </w:r>
          </w:p>
        </w:tc>
        <w:tc>
          <w:tcPr>
            <w:tcW w:type="dxa" w:w="1701"/>
            <w:shd w:val="clear" w:color="auto" w:fill="F0F5FC"/>
          </w:tcPr>
          <w:p>
            <w:pPr>
              <w:spacing w:after="20" w:line="264" w:lineRule="auto"/>
              <w:jc w:val="center"/>
            </w:pPr>
            <w:r/>
            <w:r>
              <w:rPr>
                <w:sz w:val="22"/>
              </w:rPr>
              <w:t>6</w:t>
            </w:r>
          </w:p>
        </w:tc>
        <w:tc>
          <w:tcPr>
            <w:tcW w:type="dxa" w:w="2268"/>
            <w:shd w:val="clear" w:color="auto" w:fill="F0F5FC"/>
          </w:tcPr>
          <w:p>
            <w:pPr>
              <w:spacing w:after="20" w:line="264" w:lineRule="auto"/>
              <w:jc w:val="center"/>
            </w:pPr>
            <w:r/>
            <w:r>
              <w:rPr>
                <w:sz w:val="22"/>
              </w:rPr>
              <w:t>4</w:t>
            </w:r>
          </w:p>
        </w:tc>
        <w:tc>
          <w:tcPr>
            <w:tcW w:type="dxa" w:w="1814"/>
            <w:shd w:val="clear" w:color="auto" w:fill="F0F5FC"/>
          </w:tcPr>
          <w:p>
            <w:pPr>
              <w:spacing w:after="20" w:line="264" w:lineRule="auto"/>
              <w:jc w:val="center"/>
            </w:pPr>
            <w:r/>
            <w:r>
              <w:rPr>
                <w:sz w:val="22"/>
              </w:rPr>
              <w:t>1.646</w:t>
            </w:r>
          </w:p>
        </w:tc>
      </w:tr>
      <w:tr>
        <w:trPr>
          <w:cantSplit w:val="true"/>
        </w:trPr>
        <w:tc>
          <w:tcPr>
            <w:tcW w:type="dxa" w:w="1417"/>
          </w:tcPr>
          <w:p>
            <w:pPr>
              <w:spacing w:after="20" w:line="264" w:lineRule="auto"/>
              <w:jc w:val="left"/>
            </w:pPr>
            <w:r>
              <w:rPr>
                <w:b/>
              </w:rPr>
            </w:r>
            <w:r>
              <w:rPr>
                <w:b/>
                <w:sz w:val="22"/>
              </w:rPr>
              <w:t>KG30</w:t>
            </w:r>
          </w:p>
        </w:tc>
        <w:tc>
          <w:tcPr>
            <w:tcW w:type="dxa" w:w="1871"/>
          </w:tcPr>
          <w:p>
            <w:pPr>
              <w:spacing w:after="20" w:line="264" w:lineRule="auto"/>
              <w:jc w:val="center"/>
            </w:pPr>
            <w:r/>
            <w:r>
              <w:rPr>
                <w:sz w:val="22"/>
              </w:rPr>
              <w:t>21</w:t>
            </w:r>
          </w:p>
        </w:tc>
        <w:tc>
          <w:tcPr>
            <w:tcW w:type="dxa" w:w="1701"/>
          </w:tcPr>
          <w:p>
            <w:pPr>
              <w:spacing w:after="20" w:line="264" w:lineRule="auto"/>
              <w:jc w:val="center"/>
            </w:pPr>
            <w:r/>
            <w:r>
              <w:rPr>
                <w:sz w:val="22"/>
              </w:rPr>
              <w:t>9</w:t>
            </w:r>
          </w:p>
        </w:tc>
        <w:tc>
          <w:tcPr>
            <w:tcW w:type="dxa" w:w="2268"/>
          </w:tcPr>
          <w:p>
            <w:pPr>
              <w:spacing w:after="20" w:line="264" w:lineRule="auto"/>
              <w:jc w:val="center"/>
            </w:pPr>
            <w:r/>
            <w:r>
              <w:rPr>
                <w:sz w:val="22"/>
              </w:rPr>
              <w:t>7</w:t>
            </w:r>
          </w:p>
        </w:tc>
        <w:tc>
          <w:tcPr>
            <w:tcW w:type="dxa" w:w="1814"/>
          </w:tcPr>
          <w:p>
            <w:pPr>
              <w:spacing w:after="20" w:line="264" w:lineRule="auto"/>
              <w:jc w:val="center"/>
            </w:pPr>
            <w:r/>
            <w:r>
              <w:rPr>
                <w:sz w:val="22"/>
              </w:rPr>
              <w:t>2.528</w:t>
            </w:r>
          </w:p>
        </w:tc>
      </w:tr>
    </w:tbl>
    <w:p>
      <w:pPr>
        <w:spacing w:after="40"/>
      </w:pPr>
    </w:p>
    <w:p>
      <w:pPr>
        <w:ind w:firstLine="567"/>
      </w:pPr>
      <w:r>
        <w:t xml:space="preserve">Thứ tự 30 bài trong </w:t>
      </w:r>
      <w:r>
        <w:rPr>
          <w:rFonts w:ascii="Consolas" w:hAnsi="Consolas"/>
        </w:rPr>
        <w:t>data/kg/papers.json</w:t>
      </w:r>
      <w:r>
        <w:t xml:space="preserve"> được xếp ở nội dung 2 theo cách stratified theo chủ đề (seed 42), trước khi có kết quả nào, để k bài đầu giữ tỉ lệ hai nhánh Quantum Security / Quantum Machine Learning như 30 bài. Bước trích xuất (một lần gọi qwen2.5:7b cho mỗi chunk) đã được lưu theo chunk ở nội dung 2, nên KG10 và KG20 chỉ là gộp lại các kết quả trích xuất của chunk thuộc 10 hoặc 20 bài đầu rồi nhúng entity/relation; không trích xuất lại. Nhờ vậy KG10 ⊂ KG20 ⊂ KG30 (trừ vài tên viết tắt được gộp khác đi khi tập bài thay đổi).</w:t>
      </w:r>
    </w:p>
    <w:p>
      <w:pPr>
        <w:pStyle w:val="Heading2"/>
      </w:pPr>
      <w:r>
        <w:t>3.2. Bộ câu hỏi và ba cách nhìn</w:t>
      </w:r>
    </w:p>
    <w:p>
      <w:pPr>
        <w:pStyle w:val="Caption"/>
        <w:keepNext/>
        <w:jc w:val="center"/>
      </w:pPr>
      <w:r>
        <w:t>Bảng 3. 85 câu hỏi của nội dung 2 chia theo phạm vi (bài nguồn nằm trong k bài đầu)</w:t>
      </w:r>
    </w:p>
    <w:tbl>
      <w:tblPr>
        <w:tblStyle w:val="TableGrid"/>
        <w:tblW w:type="auto" w:w="0"/>
        <w:jc w:val="center"/>
        <w:tblLayout w:type="fixed"/>
        <w:tblLook w:firstColumn="1" w:firstRow="1" w:lastColumn="0" w:lastRow="0" w:noHBand="0" w:noVBand="1" w:val="04A0"/>
      </w:tblPr>
      <w:tblGrid>
        <w:gridCol w:w="1814"/>
        <w:gridCol w:w="1814"/>
        <w:gridCol w:w="1814"/>
        <w:gridCol w:w="1814"/>
        <w:gridCol w:w="1814"/>
      </w:tblGrid>
      <w:tr>
        <w:trPr>
          <w:tblHeader w:val="true"/>
          <w:cantSplit w:val="true"/>
        </w:trPr>
        <w:tc>
          <w:tcPr>
            <w:tcW w:type="dxa" w:w="3175"/>
            <w:shd w:val="clear" w:color="auto" w:fill="1C5CAB"/>
          </w:tcPr>
          <w:p>
            <w:pPr>
              <w:spacing w:after="20" w:line="264" w:lineRule="auto"/>
              <w:jc w:val="center"/>
            </w:pPr>
            <w:r/>
            <w:r>
              <w:rPr>
                <w:b/>
                <w:color w:val="FFFFFF"/>
                <w:sz w:val="21"/>
              </w:rPr>
              <w:t>Phạm vi</w:t>
            </w:r>
          </w:p>
        </w:tc>
        <w:tc>
          <w:tcPr>
            <w:tcW w:type="dxa" w:w="1247"/>
            <w:shd w:val="clear" w:color="auto" w:fill="1C5CAB"/>
          </w:tcPr>
          <w:p>
            <w:pPr>
              <w:spacing w:after="20" w:line="264" w:lineRule="auto"/>
              <w:jc w:val="center"/>
            </w:pPr>
            <w:r/>
            <w:r>
              <w:rPr>
                <w:b/>
                <w:color w:val="FFFFFF"/>
                <w:sz w:val="21"/>
              </w:rPr>
              <w:t>Single-hop</w:t>
            </w:r>
          </w:p>
        </w:tc>
        <w:tc>
          <w:tcPr>
            <w:tcW w:type="dxa" w:w="1247"/>
            <w:shd w:val="clear" w:color="auto" w:fill="1C5CAB"/>
          </w:tcPr>
          <w:p>
            <w:pPr>
              <w:spacing w:after="20" w:line="264" w:lineRule="auto"/>
              <w:jc w:val="center"/>
            </w:pPr>
            <w:r/>
            <w:r>
              <w:rPr>
                <w:b/>
                <w:color w:val="FFFFFF"/>
                <w:sz w:val="21"/>
              </w:rPr>
              <w:t>Multi-hop</w:t>
            </w:r>
          </w:p>
        </w:tc>
        <w:tc>
          <w:tcPr>
            <w:tcW w:type="dxa" w:w="907"/>
            <w:shd w:val="clear" w:color="auto" w:fill="1C5CAB"/>
          </w:tcPr>
          <w:p>
            <w:pPr>
              <w:spacing w:after="20" w:line="264" w:lineRule="auto"/>
              <w:jc w:val="center"/>
            </w:pPr>
            <w:r/>
            <w:r>
              <w:rPr>
                <w:b/>
                <w:color w:val="FFFFFF"/>
                <w:sz w:val="21"/>
              </w:rPr>
              <w:t>Tổng</w:t>
            </w:r>
          </w:p>
        </w:tc>
        <w:tc>
          <w:tcPr>
            <w:tcW w:type="dxa" w:w="2494"/>
            <w:shd w:val="clear" w:color="auto" w:fill="1C5CAB"/>
          </w:tcPr>
          <w:p>
            <w:pPr>
              <w:spacing w:after="20" w:line="264" w:lineRule="auto"/>
              <w:jc w:val="center"/>
            </w:pPr>
            <w:r/>
            <w:r>
              <w:rPr>
                <w:b/>
                <w:color w:val="FFFFFF"/>
                <w:sz w:val="21"/>
              </w:rPr>
              <w:t>Thuộc phạm vi của</w:t>
            </w:r>
          </w:p>
        </w:tc>
      </w:tr>
      <w:tr>
        <w:trPr>
          <w:cantSplit w:val="true"/>
        </w:trPr>
        <w:tc>
          <w:tcPr>
            <w:tcW w:type="dxa" w:w="3175"/>
          </w:tcPr>
          <w:p>
            <w:pPr>
              <w:spacing w:after="20" w:line="264" w:lineRule="auto"/>
              <w:jc w:val="left"/>
            </w:pPr>
            <w:r>
              <w:rPr>
                <w:b/>
              </w:rPr>
            </w:r>
            <w:r>
              <w:rPr>
                <w:b/>
                <w:sz w:val="21"/>
              </w:rPr>
              <w:t>Bài nguồn trong 10 bài đầu</w:t>
            </w:r>
          </w:p>
        </w:tc>
        <w:tc>
          <w:tcPr>
            <w:tcW w:type="dxa" w:w="1247"/>
          </w:tcPr>
          <w:p>
            <w:pPr>
              <w:spacing w:after="20" w:line="264" w:lineRule="auto"/>
              <w:jc w:val="center"/>
            </w:pPr>
            <w:r/>
            <w:r>
              <w:rPr>
                <w:sz w:val="21"/>
              </w:rPr>
              <w:t>10</w:t>
            </w:r>
          </w:p>
        </w:tc>
        <w:tc>
          <w:tcPr>
            <w:tcW w:type="dxa" w:w="1247"/>
          </w:tcPr>
          <w:p>
            <w:pPr>
              <w:spacing w:after="20" w:line="264" w:lineRule="auto"/>
              <w:jc w:val="center"/>
            </w:pPr>
            <w:r/>
            <w:r>
              <w:rPr>
                <w:sz w:val="21"/>
              </w:rPr>
              <w:t>5</w:t>
            </w:r>
          </w:p>
        </w:tc>
        <w:tc>
          <w:tcPr>
            <w:tcW w:type="dxa" w:w="907"/>
          </w:tcPr>
          <w:p>
            <w:pPr>
              <w:spacing w:after="20" w:line="264" w:lineRule="auto"/>
              <w:jc w:val="center"/>
            </w:pPr>
            <w:r/>
            <w:r>
              <w:rPr>
                <w:sz w:val="21"/>
              </w:rPr>
              <w:t>15</w:t>
            </w:r>
          </w:p>
        </w:tc>
        <w:tc>
          <w:tcPr>
            <w:tcW w:type="dxa" w:w="2494"/>
          </w:tcPr>
          <w:p>
            <w:pPr>
              <w:spacing w:after="20" w:line="264" w:lineRule="auto"/>
              <w:jc w:val="center"/>
            </w:pPr>
            <w:r/>
            <w:r>
              <w:rPr>
                <w:sz w:val="21"/>
              </w:rPr>
              <w:t>KG10, KG20, KG30</w:t>
            </w:r>
          </w:p>
        </w:tc>
      </w:tr>
      <w:tr>
        <w:trPr>
          <w:cantSplit w:val="true"/>
        </w:trPr>
        <w:tc>
          <w:tcPr>
            <w:tcW w:type="dxa" w:w="3175"/>
            <w:shd w:val="clear" w:color="auto" w:fill="F0F5FC"/>
          </w:tcPr>
          <w:p>
            <w:pPr>
              <w:spacing w:after="20" w:line="264" w:lineRule="auto"/>
              <w:jc w:val="left"/>
            </w:pPr>
            <w:r>
              <w:rPr>
                <w:b/>
              </w:rPr>
            </w:r>
            <w:r>
              <w:rPr>
                <w:b/>
                <w:sz w:val="21"/>
              </w:rPr>
              <w:t>Bài nguồn trong 20 bài đầu (có bài 11–20)</w:t>
            </w:r>
          </w:p>
        </w:tc>
        <w:tc>
          <w:tcPr>
            <w:tcW w:type="dxa" w:w="1247"/>
            <w:shd w:val="clear" w:color="auto" w:fill="F0F5FC"/>
          </w:tcPr>
          <w:p>
            <w:pPr>
              <w:spacing w:after="20" w:line="264" w:lineRule="auto"/>
              <w:jc w:val="center"/>
            </w:pPr>
            <w:r/>
            <w:r>
              <w:rPr>
                <w:sz w:val="21"/>
              </w:rPr>
              <w:t>8</w:t>
            </w:r>
          </w:p>
        </w:tc>
        <w:tc>
          <w:tcPr>
            <w:tcW w:type="dxa" w:w="1247"/>
            <w:shd w:val="clear" w:color="auto" w:fill="F0F5FC"/>
          </w:tcPr>
          <w:p>
            <w:pPr>
              <w:spacing w:after="20" w:line="264" w:lineRule="auto"/>
              <w:jc w:val="center"/>
            </w:pPr>
            <w:r/>
            <w:r>
              <w:rPr>
                <w:sz w:val="21"/>
              </w:rPr>
              <w:t>14</w:t>
            </w:r>
          </w:p>
        </w:tc>
        <w:tc>
          <w:tcPr>
            <w:tcW w:type="dxa" w:w="907"/>
            <w:shd w:val="clear" w:color="auto" w:fill="F0F5FC"/>
          </w:tcPr>
          <w:p>
            <w:pPr>
              <w:spacing w:after="20" w:line="264" w:lineRule="auto"/>
              <w:jc w:val="center"/>
            </w:pPr>
            <w:r/>
            <w:r>
              <w:rPr>
                <w:sz w:val="21"/>
              </w:rPr>
              <w:t>22</w:t>
            </w:r>
          </w:p>
        </w:tc>
        <w:tc>
          <w:tcPr>
            <w:tcW w:type="dxa" w:w="2494"/>
            <w:shd w:val="clear" w:color="auto" w:fill="F0F5FC"/>
          </w:tcPr>
          <w:p>
            <w:pPr>
              <w:spacing w:after="20" w:line="264" w:lineRule="auto"/>
              <w:jc w:val="center"/>
            </w:pPr>
            <w:r/>
            <w:r>
              <w:rPr>
                <w:sz w:val="21"/>
              </w:rPr>
              <w:t>KG20, KG30</w:t>
            </w:r>
          </w:p>
        </w:tc>
      </w:tr>
      <w:tr>
        <w:trPr>
          <w:cantSplit w:val="true"/>
        </w:trPr>
        <w:tc>
          <w:tcPr>
            <w:tcW w:type="dxa" w:w="3175"/>
          </w:tcPr>
          <w:p>
            <w:pPr>
              <w:spacing w:after="20" w:line="264" w:lineRule="auto"/>
              <w:jc w:val="left"/>
            </w:pPr>
            <w:r>
              <w:rPr>
                <w:b/>
              </w:rPr>
            </w:r>
            <w:r>
              <w:rPr>
                <w:b/>
                <w:sz w:val="21"/>
              </w:rPr>
              <w:t>Có bài nguồn trong bài 21–30</w:t>
            </w:r>
          </w:p>
        </w:tc>
        <w:tc>
          <w:tcPr>
            <w:tcW w:type="dxa" w:w="1247"/>
          </w:tcPr>
          <w:p>
            <w:pPr>
              <w:spacing w:after="20" w:line="264" w:lineRule="auto"/>
              <w:jc w:val="center"/>
            </w:pPr>
            <w:r/>
            <w:r>
              <w:rPr>
                <w:sz w:val="21"/>
              </w:rPr>
              <w:t>9</w:t>
            </w:r>
          </w:p>
        </w:tc>
        <w:tc>
          <w:tcPr>
            <w:tcW w:type="dxa" w:w="1247"/>
          </w:tcPr>
          <w:p>
            <w:pPr>
              <w:spacing w:after="20" w:line="264" w:lineRule="auto"/>
              <w:jc w:val="center"/>
            </w:pPr>
            <w:r/>
            <w:r>
              <w:rPr>
                <w:sz w:val="21"/>
              </w:rPr>
              <w:t>16</w:t>
            </w:r>
          </w:p>
        </w:tc>
        <w:tc>
          <w:tcPr>
            <w:tcW w:type="dxa" w:w="907"/>
          </w:tcPr>
          <w:p>
            <w:pPr>
              <w:spacing w:after="20" w:line="264" w:lineRule="auto"/>
              <w:jc w:val="center"/>
            </w:pPr>
            <w:r/>
            <w:r>
              <w:rPr>
                <w:sz w:val="21"/>
              </w:rPr>
              <w:t>25</w:t>
            </w:r>
          </w:p>
        </w:tc>
        <w:tc>
          <w:tcPr>
            <w:tcW w:type="dxa" w:w="2494"/>
          </w:tcPr>
          <w:p>
            <w:pPr>
              <w:spacing w:after="20" w:line="264" w:lineRule="auto"/>
              <w:jc w:val="center"/>
            </w:pPr>
            <w:r/>
            <w:r>
              <w:rPr>
                <w:sz w:val="21"/>
              </w:rPr>
              <w:t>KG30</w:t>
            </w:r>
          </w:p>
        </w:tc>
      </w:tr>
      <w:tr>
        <w:trPr>
          <w:cantSplit w:val="true"/>
        </w:trPr>
        <w:tc>
          <w:tcPr>
            <w:tcW w:type="dxa" w:w="3175"/>
            <w:shd w:val="clear" w:color="auto" w:fill="F0F5FC"/>
          </w:tcPr>
          <w:p>
            <w:pPr>
              <w:spacing w:after="20" w:line="264" w:lineRule="auto"/>
              <w:jc w:val="left"/>
            </w:pPr>
            <w:r>
              <w:rPr>
                <w:b/>
              </w:rPr>
            </w:r>
            <w:r>
              <w:rPr>
                <w:b/>
                <w:sz w:val="21"/>
              </w:rPr>
              <w:t>Out-of-corpus (đúng = refusal)</w:t>
            </w:r>
          </w:p>
        </w:tc>
        <w:tc>
          <w:tcPr>
            <w:tcW w:type="dxa" w:w="1247"/>
            <w:shd w:val="clear" w:color="auto" w:fill="F0F5FC"/>
          </w:tcPr>
          <w:p>
            <w:pPr>
              <w:spacing w:after="20" w:line="264" w:lineRule="auto"/>
              <w:jc w:val="center"/>
            </w:pPr>
            <w:r/>
          </w:p>
        </w:tc>
        <w:tc>
          <w:tcPr>
            <w:tcW w:type="dxa" w:w="1247"/>
            <w:shd w:val="clear" w:color="auto" w:fill="F0F5FC"/>
          </w:tcPr>
          <w:p>
            <w:pPr>
              <w:spacing w:after="20" w:line="264" w:lineRule="auto"/>
              <w:jc w:val="center"/>
            </w:pPr>
            <w:r/>
          </w:p>
        </w:tc>
        <w:tc>
          <w:tcPr>
            <w:tcW w:type="dxa" w:w="907"/>
            <w:shd w:val="clear" w:color="auto" w:fill="F0F5FC"/>
          </w:tcPr>
          <w:p>
            <w:pPr>
              <w:spacing w:after="20" w:line="264" w:lineRule="auto"/>
              <w:jc w:val="center"/>
            </w:pPr>
            <w:r/>
            <w:r>
              <w:rPr>
                <w:sz w:val="21"/>
              </w:rPr>
              <w:t>23</w:t>
            </w:r>
          </w:p>
        </w:tc>
        <w:tc>
          <w:tcPr>
            <w:tcW w:type="dxa" w:w="2494"/>
            <w:shd w:val="clear" w:color="auto" w:fill="F0F5FC"/>
          </w:tcPr>
          <w:p>
            <w:pPr>
              <w:spacing w:after="20" w:line="264" w:lineRule="auto"/>
              <w:jc w:val="center"/>
            </w:pPr>
            <w:r/>
            <w:r>
              <w:rPr>
                <w:sz w:val="21"/>
              </w:rPr>
              <w:t>–</w:t>
            </w:r>
          </w:p>
        </w:tc>
      </w:tr>
    </w:tbl>
    <w:p>
      <w:pPr>
        <w:spacing w:after="40"/>
      </w:pPr>
    </w:p>
    <w:p>
      <w:pPr>
        <w:ind w:firstLine="567"/>
      </w:pPr>
      <w:r>
        <w:t>Dùng lại nguyên 85 câu của nội dung 2 (đã duyệt tay), không sinh câu mới. Câu multi-hop thuộc phạm vi của KG k khi cả hai bài nguồn nằm trong k bài đầu. Kết quả được xem theo ba cách:</w:t>
      </w:r>
    </w:p>
    <w:p>
      <w:pPr>
        <w:pStyle w:val="ListBullet"/>
        <w:spacing w:after="60"/>
      </w:pPr>
      <w:r>
        <w:rPr>
          <w:b/>
        </w:rPr>
        <w:t xml:space="preserve">In-scope: </w:t>
      </w:r>
      <w:r>
        <w:t>mỗi KG được hỏi về chính các bài nó chứa (15 / 37 / 62 câu với k = 10 / 20 / 30). Trả lời câu hỏi "KG dựng từ k bài có hoạt động tốt trên k bài đó không"; tập câu khác nhau giữa các k nên chỉ so sánh mức độ.</w:t>
      </w:r>
    </w:p>
    <w:p>
      <w:pPr>
        <w:pStyle w:val="ListBullet"/>
        <w:spacing w:after="60"/>
      </w:pPr>
      <w:r>
        <w:rPr>
          <w:b/>
        </w:rPr>
        <w:t xml:space="preserve">Fixed set S10 / S20: </w:t>
      </w:r>
      <w:r>
        <w:t>cùng 15 câu về 10 bài đầu (S10) hoặc 37 câu về 20 bài đầu (S20), hỏi cả ba KG. Bài nguồn đã có trong mọi KG được so, nên chênh lệch chỉ do KG có thêm bài khác; paired comparison trên cùng câu hỏi.</w:t>
      </w:r>
    </w:p>
    <w:p>
      <w:pPr>
        <w:pStyle w:val="ListBullet"/>
        <w:spacing w:after="60"/>
      </w:pPr>
      <w:r>
        <w:rPr>
          <w:b/>
        </w:rPr>
        <w:t xml:space="preserve">Toàn bộ 62 câu: </w:t>
      </w:r>
      <w:r>
        <w:t>hỏi mọi câu có đáp án của 30 bài, kể cả câu về bài chưa có trong KG. Cho biết KG k bài trả lời được bao nhiêu câu hỏi về cả chủ đề; với câu out-of-scope, hành vi đúng là refuse.</w:t>
      </w:r>
    </w:p>
    <w:p>
      <w:pPr>
        <w:pStyle w:val="Heading1"/>
      </w:pPr>
      <w:r>
        <w:t>4. ĐO CHẤT LƯỢNG KG</w:t>
      </w:r>
    </w:p>
    <w:p>
      <w:pPr>
        <w:pStyle w:val="Heading2"/>
      </w:pPr>
      <w:r>
        <w:t>4.1. Gold set entity và relation</w:t>
      </w:r>
    </w:p>
    <w:p>
      <w:pPr>
        <w:ind w:firstLine="567"/>
      </w:pPr>
      <w:r>
        <w:t xml:space="preserve">Entity coverage và relation completeness cần một gold set: những entity và relation mà KG phải có. Gold set được lập từ 62 câu có đáp án: với mỗi câu, liệt kê các </w:t>
      </w:r>
      <w:r>
        <w:rPr>
          <w:b/>
        </w:rPr>
        <w:t>entity kỹ thuật cần để trả lời</w:t>
      </w:r>
      <w:r>
        <w:t xml:space="preserve"> (thuật toán, giao thức, tấn công, thư viện, chuẩn, khái niệm...) và các </w:t>
      </w:r>
      <w:r>
        <w:rPr>
          <w:b/>
        </w:rPr>
        <w:t>relation giữa chúng mà ground truth nêu ra</w:t>
      </w:r>
      <w:r>
        <w:t>. Mô hình judge llama3.1:8b (khác mô hình dựng KG) trích bản đầu từ câu hỏi và ground truth, sau đó duyệt tay từng câu (</w:t>
      </w:r>
      <w:r>
        <w:rPr>
          <w:rFonts w:ascii="Consolas" w:hAnsi="Consolas"/>
        </w:rPr>
        <w:t>testset/review_kg_gold.py</w:t>
      </w:r>
      <w:r>
        <w:t>): bỏ từ chung chung ("data", "participants"), con số ("60%", "1619"), tên người ("Alice", "Akleylek et al."), relation suy diễn hoặc nối tới con số; viết tên thông dụng dạng "Tên đầy đủ (VIẾT TẮT)"; mọi relation phải nối hai entity có trong danh sách của câu.</w:t>
      </w:r>
    </w:p>
    <w:p>
      <w:pPr>
        <w:pStyle w:val="Caption"/>
        <w:keepNext/>
        <w:jc w:val="center"/>
      </w:pPr>
      <w:r>
        <w:t>Bảng 4. Kích thước gold set (62 câu có đáp án)</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rPr>
          <w:tblHeader w:val="true"/>
          <w:cantSplit w:val="true"/>
        </w:trPr>
        <w:tc>
          <w:tcPr>
            <w:tcW w:type="dxa" w:w="1701"/>
            <w:shd w:val="clear" w:color="auto" w:fill="1C5CAB"/>
          </w:tcPr>
          <w:p>
            <w:pPr>
              <w:spacing w:after="20" w:line="264" w:lineRule="auto"/>
              <w:jc w:val="center"/>
            </w:pPr>
            <w:r/>
            <w:r>
              <w:rPr>
                <w:b/>
                <w:color w:val="FFFFFF"/>
                <w:sz w:val="22"/>
              </w:rPr>
            </w:r>
          </w:p>
        </w:tc>
        <w:tc>
          <w:tcPr>
            <w:tcW w:type="dxa" w:w="2268"/>
            <w:shd w:val="clear" w:color="auto" w:fill="1C5CAB"/>
          </w:tcPr>
          <w:p>
            <w:pPr>
              <w:spacing w:after="20" w:line="264" w:lineRule="auto"/>
              <w:jc w:val="center"/>
            </w:pPr>
            <w:r/>
            <w:r>
              <w:rPr>
                <w:b/>
                <w:color w:val="FFFFFF"/>
                <w:sz w:val="22"/>
              </w:rPr>
              <w:t>Bản trích tự động</w:t>
            </w:r>
          </w:p>
        </w:tc>
        <w:tc>
          <w:tcPr>
            <w:tcW w:type="dxa" w:w="2268"/>
            <w:shd w:val="clear" w:color="auto" w:fill="1C5CAB"/>
          </w:tcPr>
          <w:p>
            <w:pPr>
              <w:spacing w:after="20" w:line="264" w:lineRule="auto"/>
              <w:jc w:val="center"/>
            </w:pPr>
            <w:r/>
            <w:r>
              <w:rPr>
                <w:b/>
                <w:color w:val="FFFFFF"/>
                <w:sz w:val="22"/>
              </w:rPr>
              <w:t>Sau khi duyệt tay</w:t>
            </w:r>
          </w:p>
        </w:tc>
        <w:tc>
          <w:tcPr>
            <w:tcW w:type="dxa" w:w="2835"/>
            <w:shd w:val="clear" w:color="auto" w:fill="1C5CAB"/>
          </w:tcPr>
          <w:p>
            <w:pPr>
              <w:spacing w:after="20" w:line="264" w:lineRule="auto"/>
              <w:jc w:val="center"/>
            </w:pPr>
            <w:r/>
            <w:r>
              <w:rPr>
                <w:b/>
                <w:color w:val="FFFFFF"/>
                <w:sz w:val="22"/>
              </w:rPr>
              <w:t>Khác nhau (gộp theo tên)</w:t>
            </w:r>
          </w:p>
        </w:tc>
      </w:tr>
      <w:tr>
        <w:trPr>
          <w:cantSplit w:val="true"/>
        </w:trPr>
        <w:tc>
          <w:tcPr>
            <w:tcW w:type="dxa" w:w="1701"/>
          </w:tcPr>
          <w:p>
            <w:pPr>
              <w:spacing w:after="20" w:line="264" w:lineRule="auto"/>
              <w:jc w:val="left"/>
            </w:pPr>
            <w:r>
              <w:rPr>
                <w:b/>
              </w:rPr>
            </w:r>
            <w:r>
              <w:rPr>
                <w:b/>
                <w:sz w:val="22"/>
              </w:rPr>
              <w:t>Entity</w:t>
            </w:r>
          </w:p>
        </w:tc>
        <w:tc>
          <w:tcPr>
            <w:tcW w:type="dxa" w:w="2268"/>
          </w:tcPr>
          <w:p>
            <w:pPr>
              <w:spacing w:after="20" w:line="264" w:lineRule="auto"/>
              <w:jc w:val="center"/>
            </w:pPr>
            <w:r/>
            <w:r>
              <w:rPr>
                <w:sz w:val="22"/>
              </w:rPr>
              <w:t>503</w:t>
            </w:r>
          </w:p>
        </w:tc>
        <w:tc>
          <w:tcPr>
            <w:tcW w:type="dxa" w:w="2268"/>
          </w:tcPr>
          <w:p>
            <w:pPr>
              <w:spacing w:after="20" w:line="264" w:lineRule="auto"/>
              <w:jc w:val="center"/>
            </w:pPr>
            <w:r/>
            <w:r>
              <w:rPr>
                <w:sz w:val="22"/>
              </w:rPr>
              <w:t>353</w:t>
            </w:r>
          </w:p>
        </w:tc>
        <w:tc>
          <w:tcPr>
            <w:tcW w:type="dxa" w:w="2835"/>
          </w:tcPr>
          <w:p>
            <w:pPr>
              <w:spacing w:after="20" w:line="264" w:lineRule="auto"/>
              <w:jc w:val="center"/>
            </w:pPr>
            <w:r/>
            <w:r>
              <w:rPr>
                <w:sz w:val="22"/>
              </w:rPr>
              <w:t>262</w:t>
            </w:r>
          </w:p>
        </w:tc>
      </w:tr>
      <w:tr>
        <w:trPr>
          <w:cantSplit w:val="true"/>
        </w:trPr>
        <w:tc>
          <w:tcPr>
            <w:tcW w:type="dxa" w:w="1701"/>
            <w:shd w:val="clear" w:color="auto" w:fill="F0F5FC"/>
          </w:tcPr>
          <w:p>
            <w:pPr>
              <w:spacing w:after="20" w:line="264" w:lineRule="auto"/>
              <w:jc w:val="left"/>
            </w:pPr>
            <w:r>
              <w:rPr>
                <w:b/>
              </w:rPr>
            </w:r>
            <w:r>
              <w:rPr>
                <w:b/>
                <w:sz w:val="22"/>
              </w:rPr>
              <w:t>Relation</w:t>
            </w:r>
          </w:p>
        </w:tc>
        <w:tc>
          <w:tcPr>
            <w:tcW w:type="dxa" w:w="2268"/>
            <w:shd w:val="clear" w:color="auto" w:fill="F0F5FC"/>
          </w:tcPr>
          <w:p>
            <w:pPr>
              <w:spacing w:after="20" w:line="264" w:lineRule="auto"/>
              <w:jc w:val="center"/>
            </w:pPr>
            <w:r/>
            <w:r>
              <w:rPr>
                <w:sz w:val="22"/>
              </w:rPr>
              <w:t>415</w:t>
            </w:r>
          </w:p>
        </w:tc>
        <w:tc>
          <w:tcPr>
            <w:tcW w:type="dxa" w:w="2268"/>
            <w:shd w:val="clear" w:color="auto" w:fill="F0F5FC"/>
          </w:tcPr>
          <w:p>
            <w:pPr>
              <w:spacing w:after="20" w:line="264" w:lineRule="auto"/>
              <w:jc w:val="center"/>
            </w:pPr>
            <w:r/>
            <w:r>
              <w:rPr>
                <w:sz w:val="22"/>
              </w:rPr>
              <w:t>263</w:t>
            </w:r>
          </w:p>
        </w:tc>
        <w:tc>
          <w:tcPr>
            <w:tcW w:type="dxa" w:w="2835"/>
            <w:shd w:val="clear" w:color="auto" w:fill="F0F5FC"/>
          </w:tcPr>
          <w:p>
            <w:pPr>
              <w:spacing w:after="20" w:line="264" w:lineRule="auto"/>
              <w:jc w:val="center"/>
            </w:pPr>
            <w:r/>
            <w:r>
              <w:rPr>
                <w:sz w:val="22"/>
              </w:rPr>
              <w:t>250</w:t>
            </w:r>
          </w:p>
        </w:tc>
      </w:tr>
    </w:tbl>
    <w:p>
      <w:pPr>
        <w:spacing w:after="40"/>
      </w:pPr>
    </w:p>
    <w:p>
      <w:pPr>
        <w:pStyle w:val="Heading2"/>
      </w:pPr>
      <w:r>
        <w:t>4.2. Cách khớp với KG</w:t>
      </w:r>
    </w:p>
    <w:p>
      <w:pPr>
        <w:ind w:firstLine="567"/>
      </w:pPr>
      <w:r>
        <w:rPr>
          <w:b/>
        </w:rPr>
        <w:t>Entity coverage</w:t>
      </w:r>
      <w:r>
        <w:t xml:space="preserve"> = số gold entity có trong KG / tổng số gold entity. Một gold entity được coi là có trong KG khi tên của nó, sau khi chuẩn hoá, trùng tên, viết tắt hoặc khoá của một entity trong KG. Chuẩn hoá dùng đúng quy tắc gộp entity khi dựng KG (chữ thường, bỏ số nhiều, bỏ hậu tố chung như "algorithm", tách "Tên đầy đủ (VIẾT TẮT)"), nên "Kyber", "CRYSTALS-Kyber" là hai entity khác nhau ở cả KG lẫn gold set. Secondary metric </w:t>
      </w:r>
      <w:r>
        <w:rPr>
          <w:i/>
        </w:rPr>
        <w:t>lenient</w:t>
      </w:r>
      <w:r>
        <w:t xml:space="preserve"> (upper bound) tính thêm entity có tên chứa trọn cụm từ của gold entity, ví dụ "Faraday effect" khớp "faraday-effect based polarization rotation" nhưng cũng khớp cả biến thể hẹp hơn như "Dilithium" với "dilithium-3".</w:t>
      </w:r>
    </w:p>
    <w:p>
      <w:pPr>
        <w:ind w:firstLine="567"/>
      </w:pPr>
      <w:r>
        <w:t>Việc khớp không dùng LLM. Phương án dùng judge xác nhận "cùng khái niệm" giữa gold entity và các entity ứng viên đã được thử với cả llama3.1:8b và qwen2.5:7b và bị loại vì không ổn định: llama3.1:8b nhận "Bouncy Castle" là "adiabatic quantum computing", "BoringSSL" là "oraclize"; qwen2.5:7b nhận "Dilithium" là "dilithium-3", "FPGA" là "artix-7 fpga". Khớp theo tên chuẩn hoá chặt hơn nhưng tất định và kiểm tra lại được.</w:t>
      </w:r>
    </w:p>
    <w:p>
      <w:pPr>
        <w:ind w:firstLine="567"/>
      </w:pPr>
      <w:r>
        <w:rPr>
          <w:b/>
        </w:rPr>
        <w:t>Relation completeness</w:t>
      </w:r>
      <w:r>
        <w:t xml:space="preserve"> = số gold relation có </w:t>
      </w:r>
      <w:r>
        <w:rPr>
          <w:b/>
        </w:rPr>
        <w:t>edge trực tiếp</w:t>
      </w:r>
      <w:r>
        <w:t xml:space="preserve"> trong KG nối hai entity đã khớp với hai đầu của relation / tổng số gold relation. Secondary metric: cả hai đầu có trong KG (dù không nối nhau), nối nhau trong tối đa 2 bước, và bản lenient. Để kiểm tra phép khớp "có edge" có thật sự đúng relation, 40 gold relation có edge trong KG30 được chọn ngẫu nhiên (seed 42) và đọc tay mô tả edge: </w:t>
      </w:r>
      <w:r>
        <w:rPr>
          <w:b/>
        </w:rPr>
        <w:t>36/40 (90%)</w:t>
      </w:r>
      <w:r>
        <w:t xml:space="preserve"> edge nói đúng gold relation; các edge sai nói một relation khác giữa cùng hai entity (ví dụ ground truth "OpenSSL dự định tích hợp Dilithium", edge lại ghi "OpenSSL hỗ trợ Dilithium"); chi tiết trong </w:t>
      </w:r>
      <w:r>
        <w:rPr>
          <w:rFonts w:ascii="Consolas" w:hAnsi="Consolas"/>
        </w:rPr>
        <w:t>results/kg_scale/kg_relation_audit.csv</w:t>
      </w:r>
      <w:r>
        <w:t xml:space="preserve">. Vì vậy relation completeness (đếm mọi edge khớp) hơi cao hơn thực tế; báo cáo thêm </w:t>
      </w:r>
      <w:r>
        <w:rPr>
          <w:b/>
        </w:rPr>
        <w:t>relation completeness hiệu chỉnh</w:t>
      </w:r>
      <w:r>
        <w:t xml:space="preserve"> = relation completeness × 90%, với CI 95% bootstrap gộp hai nguồn sai số: lấy mẫu lại các gold relation và, độc lập, lấy mẫu lại 40 edge đã audit (tỉ lệ đúng 90%, CI 80%–98%). Hai giả định: tỉ lệ kiểm tra trên KG30 áp dụng cho KG10, KG20; và chỉ hiệu chỉnh edge khớp sai, không tính relation có trong KG nhưng phép khớp tên bỏ sót.</w:t>
      </w:r>
    </w:p>
    <w:p>
      <w:pPr>
        <w:ind w:firstLine="567"/>
      </w:pPr>
      <w:r>
        <w:t>Mỗi entity / gold relation tính một lần trong một tập câu hỏi (gộp theo tên chuẩn hoá); CI 95% bằng bootstrap trên các entity / relation. Chỉ số cấu trúc (không cần gold set): tỉ lệ entity và relation xuất hiện ở ≥ 2 bài (liên kết giữa các bài), average degree, largest connected component, entity không có relation, số entity mới khi thêm một bài.</w:t>
      </w:r>
    </w:p>
    <w:p>
      <w:pPr>
        <w:pStyle w:val="Heading1"/>
      </w:pPr>
      <w:r>
        <w:t>5. KẾT QUẢ: CHẤT LƯỢNG KG</w:t>
      </w:r>
    </w:p>
    <w:p>
      <w:pPr>
        <w:pStyle w:val="Heading2"/>
      </w:pPr>
      <w:r>
        <w:t>5.1. Cấu trúc và saturation</w:t>
      </w:r>
    </w:p>
    <w:p>
      <w:pPr>
        <w:pStyle w:val="Caption"/>
        <w:keepNext/>
        <w:jc w:val="center"/>
      </w:pPr>
      <w:r>
        <w:t>Bảng 5. Cấu trúc ba KG</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rPr>
          <w:tblHeader w:val="true"/>
          <w:cantSplit w:val="true"/>
        </w:trPr>
        <w:tc>
          <w:tcPr>
            <w:tcW w:type="dxa" w:w="3118"/>
            <w:shd w:val="clear" w:color="auto" w:fill="1C5CAB"/>
          </w:tcPr>
          <w:p>
            <w:pPr>
              <w:spacing w:after="20" w:line="264" w:lineRule="auto"/>
              <w:jc w:val="center"/>
            </w:pPr>
            <w:r/>
            <w:r>
              <w:rPr>
                <w:b/>
                <w:color w:val="FFFFFF"/>
                <w:sz w:val="21"/>
              </w:rPr>
              <w:t>Chỉ số</w:t>
            </w:r>
          </w:p>
        </w:tc>
        <w:tc>
          <w:tcPr>
            <w:tcW w:type="dxa" w:w="1984"/>
            <w:shd w:val="clear" w:color="auto" w:fill="1C5CAB"/>
          </w:tcPr>
          <w:p>
            <w:pPr>
              <w:spacing w:after="20" w:line="264" w:lineRule="auto"/>
              <w:jc w:val="center"/>
            </w:pPr>
            <w:r/>
            <w:r>
              <w:rPr>
                <w:b/>
                <w:color w:val="FFFFFF"/>
                <w:sz w:val="21"/>
              </w:rPr>
              <w:t>KG10</w:t>
            </w:r>
          </w:p>
        </w:tc>
        <w:tc>
          <w:tcPr>
            <w:tcW w:type="dxa" w:w="1984"/>
            <w:shd w:val="clear" w:color="auto" w:fill="1C5CAB"/>
          </w:tcPr>
          <w:p>
            <w:pPr>
              <w:spacing w:after="20" w:line="264" w:lineRule="auto"/>
              <w:jc w:val="center"/>
            </w:pPr>
            <w:r/>
            <w:r>
              <w:rPr>
                <w:b/>
                <w:color w:val="FFFFFF"/>
                <w:sz w:val="21"/>
              </w:rPr>
              <w:t>KG20</w:t>
            </w:r>
          </w:p>
        </w:tc>
        <w:tc>
          <w:tcPr>
            <w:tcW w:type="dxa" w:w="1984"/>
            <w:shd w:val="clear" w:color="auto" w:fill="1C5CAB"/>
          </w:tcPr>
          <w:p>
            <w:pPr>
              <w:spacing w:after="20" w:line="264" w:lineRule="auto"/>
              <w:jc w:val="center"/>
            </w:pPr>
            <w:r/>
            <w:r>
              <w:rPr>
                <w:b/>
                <w:color w:val="FFFFFF"/>
                <w:sz w:val="21"/>
              </w:rPr>
              <w:t>KG30</w:t>
            </w:r>
          </w:p>
        </w:tc>
      </w:tr>
      <w:tr>
        <w:trPr>
          <w:cantSplit w:val="true"/>
        </w:trPr>
        <w:tc>
          <w:tcPr>
            <w:tcW w:type="dxa" w:w="3118"/>
          </w:tcPr>
          <w:p>
            <w:pPr>
              <w:spacing w:after="20" w:line="264" w:lineRule="auto"/>
              <w:jc w:val="left"/>
            </w:pPr>
            <w:r>
              <w:rPr>
                <w:b/>
              </w:rPr>
            </w:r>
            <w:r>
              <w:rPr>
                <w:b/>
                <w:sz w:val="21"/>
              </w:rPr>
              <w:t>Entity / relation</w:t>
            </w:r>
          </w:p>
        </w:tc>
        <w:tc>
          <w:tcPr>
            <w:tcW w:type="dxa" w:w="1984"/>
          </w:tcPr>
          <w:p>
            <w:pPr>
              <w:spacing w:after="20" w:line="264" w:lineRule="auto"/>
              <w:jc w:val="center"/>
            </w:pPr>
            <w:r/>
            <w:r>
              <w:rPr>
                <w:sz w:val="21"/>
              </w:rPr>
              <w:t>3.274 / 3.252</w:t>
            </w:r>
          </w:p>
        </w:tc>
        <w:tc>
          <w:tcPr>
            <w:tcW w:type="dxa" w:w="1984"/>
          </w:tcPr>
          <w:p>
            <w:pPr>
              <w:spacing w:after="20" w:line="264" w:lineRule="auto"/>
              <w:jc w:val="center"/>
            </w:pPr>
            <w:r/>
            <w:r>
              <w:rPr>
                <w:sz w:val="21"/>
              </w:rPr>
              <w:t>5.702 / 6.160</w:t>
            </w:r>
          </w:p>
        </w:tc>
        <w:tc>
          <w:tcPr>
            <w:tcW w:type="dxa" w:w="1984"/>
          </w:tcPr>
          <w:p>
            <w:pPr>
              <w:spacing w:after="20" w:line="264" w:lineRule="auto"/>
              <w:jc w:val="center"/>
            </w:pPr>
            <w:r/>
            <w:r>
              <w:rPr>
                <w:sz w:val="21"/>
              </w:rPr>
              <w:t>8.352 / 9.337</w:t>
            </w:r>
          </w:p>
        </w:tc>
      </w:tr>
      <w:tr>
        <w:trPr>
          <w:cantSplit w:val="true"/>
        </w:trPr>
        <w:tc>
          <w:tcPr>
            <w:tcW w:type="dxa" w:w="3118"/>
            <w:shd w:val="clear" w:color="auto" w:fill="F0F5FC"/>
          </w:tcPr>
          <w:p>
            <w:pPr>
              <w:spacing w:after="20" w:line="264" w:lineRule="auto"/>
              <w:jc w:val="left"/>
            </w:pPr>
            <w:r>
              <w:rPr>
                <w:b/>
              </w:rPr>
            </w:r>
            <w:r>
              <w:rPr>
                <w:b/>
                <w:sz w:val="21"/>
              </w:rPr>
              <w:t>Entity trung bình mỗi bài</w:t>
            </w:r>
          </w:p>
        </w:tc>
        <w:tc>
          <w:tcPr>
            <w:tcW w:type="dxa" w:w="1984"/>
            <w:shd w:val="clear" w:color="auto" w:fill="F0F5FC"/>
          </w:tcPr>
          <w:p>
            <w:pPr>
              <w:spacing w:after="20" w:line="264" w:lineRule="auto"/>
              <w:jc w:val="center"/>
            </w:pPr>
            <w:r/>
            <w:r>
              <w:rPr>
                <w:sz w:val="21"/>
              </w:rPr>
              <w:t>327</w:t>
            </w:r>
          </w:p>
        </w:tc>
        <w:tc>
          <w:tcPr>
            <w:tcW w:type="dxa" w:w="1984"/>
            <w:shd w:val="clear" w:color="auto" w:fill="F0F5FC"/>
          </w:tcPr>
          <w:p>
            <w:pPr>
              <w:spacing w:after="20" w:line="264" w:lineRule="auto"/>
              <w:jc w:val="center"/>
            </w:pPr>
            <w:r/>
            <w:r>
              <w:rPr>
                <w:sz w:val="21"/>
              </w:rPr>
              <w:t>285</w:t>
            </w:r>
          </w:p>
        </w:tc>
        <w:tc>
          <w:tcPr>
            <w:tcW w:type="dxa" w:w="1984"/>
            <w:shd w:val="clear" w:color="auto" w:fill="F0F5FC"/>
          </w:tcPr>
          <w:p>
            <w:pPr>
              <w:spacing w:after="20" w:line="264" w:lineRule="auto"/>
              <w:jc w:val="center"/>
            </w:pPr>
            <w:r/>
            <w:r>
              <w:rPr>
                <w:sz w:val="21"/>
              </w:rPr>
              <w:t>278</w:t>
            </w:r>
          </w:p>
        </w:tc>
      </w:tr>
      <w:tr>
        <w:trPr>
          <w:cantSplit w:val="true"/>
        </w:trPr>
        <w:tc>
          <w:tcPr>
            <w:tcW w:type="dxa" w:w="3118"/>
          </w:tcPr>
          <w:p>
            <w:pPr>
              <w:spacing w:after="20" w:line="264" w:lineRule="auto"/>
              <w:jc w:val="left"/>
            </w:pPr>
            <w:r>
              <w:rPr>
                <w:b/>
              </w:rPr>
            </w:r>
            <w:r>
              <w:rPr>
                <w:b/>
                <w:sz w:val="21"/>
              </w:rPr>
              <w:t>Entity xuất hiện ở ≥ 2 bài</w:t>
            </w:r>
          </w:p>
        </w:tc>
        <w:tc>
          <w:tcPr>
            <w:tcW w:type="dxa" w:w="1984"/>
          </w:tcPr>
          <w:p>
            <w:pPr>
              <w:spacing w:after="20" w:line="264" w:lineRule="auto"/>
              <w:jc w:val="center"/>
            </w:pPr>
            <w:r/>
            <w:r>
              <w:rPr>
                <w:sz w:val="21"/>
              </w:rPr>
              <w:t>264 (8,1%)</w:t>
            </w:r>
          </w:p>
        </w:tc>
        <w:tc>
          <w:tcPr>
            <w:tcW w:type="dxa" w:w="1984"/>
          </w:tcPr>
          <w:p>
            <w:pPr>
              <w:spacing w:after="20" w:line="264" w:lineRule="auto"/>
              <w:jc w:val="center"/>
            </w:pPr>
            <w:r/>
            <w:r>
              <w:rPr>
                <w:sz w:val="21"/>
              </w:rPr>
              <w:t>638 (11,2%)</w:t>
            </w:r>
          </w:p>
        </w:tc>
        <w:tc>
          <w:tcPr>
            <w:tcW w:type="dxa" w:w="1984"/>
          </w:tcPr>
          <w:p>
            <w:pPr>
              <w:spacing w:after="20" w:line="264" w:lineRule="auto"/>
              <w:jc w:val="center"/>
            </w:pPr>
            <w:r/>
            <w:r>
              <w:rPr>
                <w:sz w:val="21"/>
              </w:rPr>
              <w:t>1.044 (12,5%)</w:t>
            </w:r>
          </w:p>
        </w:tc>
      </w:tr>
      <w:tr>
        <w:trPr>
          <w:cantSplit w:val="true"/>
        </w:trPr>
        <w:tc>
          <w:tcPr>
            <w:tcW w:type="dxa" w:w="3118"/>
            <w:shd w:val="clear" w:color="auto" w:fill="F0F5FC"/>
          </w:tcPr>
          <w:p>
            <w:pPr>
              <w:spacing w:after="20" w:line="264" w:lineRule="auto"/>
              <w:jc w:val="left"/>
            </w:pPr>
            <w:r>
              <w:rPr>
                <w:b/>
              </w:rPr>
            </w:r>
            <w:r>
              <w:rPr>
                <w:b/>
                <w:sz w:val="21"/>
              </w:rPr>
              <w:t>Relation xuất hiện ở ≥ 2 bài</w:t>
            </w:r>
          </w:p>
        </w:tc>
        <w:tc>
          <w:tcPr>
            <w:tcW w:type="dxa" w:w="1984"/>
            <w:shd w:val="clear" w:color="auto" w:fill="F0F5FC"/>
          </w:tcPr>
          <w:p>
            <w:pPr>
              <w:spacing w:after="20" w:line="264" w:lineRule="auto"/>
              <w:jc w:val="center"/>
            </w:pPr>
            <w:r/>
            <w:r>
              <w:rPr>
                <w:sz w:val="21"/>
              </w:rPr>
              <w:t>25 (0,8%)</w:t>
            </w:r>
          </w:p>
        </w:tc>
        <w:tc>
          <w:tcPr>
            <w:tcW w:type="dxa" w:w="1984"/>
            <w:shd w:val="clear" w:color="auto" w:fill="F0F5FC"/>
          </w:tcPr>
          <w:p>
            <w:pPr>
              <w:spacing w:after="20" w:line="264" w:lineRule="auto"/>
              <w:jc w:val="center"/>
            </w:pPr>
            <w:r/>
            <w:r>
              <w:rPr>
                <w:sz w:val="21"/>
              </w:rPr>
              <w:t>114 (1,8%)</w:t>
            </w:r>
          </w:p>
        </w:tc>
        <w:tc>
          <w:tcPr>
            <w:tcW w:type="dxa" w:w="1984"/>
            <w:shd w:val="clear" w:color="auto" w:fill="F0F5FC"/>
          </w:tcPr>
          <w:p>
            <w:pPr>
              <w:spacing w:after="20" w:line="264" w:lineRule="auto"/>
              <w:jc w:val="center"/>
            </w:pPr>
            <w:r/>
            <w:r>
              <w:rPr>
                <w:sz w:val="21"/>
              </w:rPr>
              <w:t>224 (2,4%)</w:t>
            </w:r>
          </w:p>
        </w:tc>
      </w:tr>
      <w:tr>
        <w:trPr>
          <w:cantSplit w:val="true"/>
        </w:trPr>
        <w:tc>
          <w:tcPr>
            <w:tcW w:type="dxa" w:w="3118"/>
          </w:tcPr>
          <w:p>
            <w:pPr>
              <w:spacing w:after="20" w:line="264" w:lineRule="auto"/>
              <w:jc w:val="left"/>
            </w:pPr>
            <w:r>
              <w:rPr>
                <w:b/>
              </w:rPr>
            </w:r>
            <w:r>
              <w:rPr>
                <w:b/>
                <w:sz w:val="21"/>
              </w:rPr>
              <w:t>Average degree</w:t>
            </w:r>
          </w:p>
        </w:tc>
        <w:tc>
          <w:tcPr>
            <w:tcW w:type="dxa" w:w="1984"/>
          </w:tcPr>
          <w:p>
            <w:pPr>
              <w:spacing w:after="20" w:line="264" w:lineRule="auto"/>
              <w:jc w:val="center"/>
            </w:pPr>
            <w:r/>
            <w:r>
              <w:rPr>
                <w:sz w:val="21"/>
              </w:rPr>
              <w:t>1,99</w:t>
            </w:r>
          </w:p>
        </w:tc>
        <w:tc>
          <w:tcPr>
            <w:tcW w:type="dxa" w:w="1984"/>
          </w:tcPr>
          <w:p>
            <w:pPr>
              <w:spacing w:after="20" w:line="264" w:lineRule="auto"/>
              <w:jc w:val="center"/>
            </w:pPr>
            <w:r/>
            <w:r>
              <w:rPr>
                <w:sz w:val="21"/>
              </w:rPr>
              <w:t>2,16</w:t>
            </w:r>
          </w:p>
        </w:tc>
        <w:tc>
          <w:tcPr>
            <w:tcW w:type="dxa" w:w="1984"/>
          </w:tcPr>
          <w:p>
            <w:pPr>
              <w:spacing w:after="20" w:line="264" w:lineRule="auto"/>
              <w:jc w:val="center"/>
            </w:pPr>
            <w:r/>
            <w:r>
              <w:rPr>
                <w:sz w:val="21"/>
              </w:rPr>
              <w:t>2,24</w:t>
            </w:r>
          </w:p>
        </w:tc>
      </w:tr>
      <w:tr>
        <w:trPr>
          <w:cantSplit w:val="true"/>
        </w:trPr>
        <w:tc>
          <w:tcPr>
            <w:tcW w:type="dxa" w:w="3118"/>
            <w:shd w:val="clear" w:color="auto" w:fill="F0F5FC"/>
          </w:tcPr>
          <w:p>
            <w:pPr>
              <w:spacing w:after="20" w:line="264" w:lineRule="auto"/>
              <w:jc w:val="left"/>
            </w:pPr>
            <w:r>
              <w:rPr>
                <w:b/>
              </w:rPr>
            </w:r>
            <w:r>
              <w:rPr>
                <w:b/>
                <w:sz w:val="21"/>
              </w:rPr>
              <w:t>Largest connected component</w:t>
            </w:r>
          </w:p>
        </w:tc>
        <w:tc>
          <w:tcPr>
            <w:tcW w:type="dxa" w:w="1984"/>
            <w:shd w:val="clear" w:color="auto" w:fill="F0F5FC"/>
          </w:tcPr>
          <w:p>
            <w:pPr>
              <w:spacing w:after="20" w:line="264" w:lineRule="auto"/>
              <w:jc w:val="center"/>
            </w:pPr>
            <w:r/>
            <w:r>
              <w:rPr>
                <w:sz w:val="21"/>
              </w:rPr>
              <w:t>64,8%</w:t>
            </w:r>
          </w:p>
        </w:tc>
        <w:tc>
          <w:tcPr>
            <w:tcW w:type="dxa" w:w="1984"/>
            <w:shd w:val="clear" w:color="auto" w:fill="F0F5FC"/>
          </w:tcPr>
          <w:p>
            <w:pPr>
              <w:spacing w:after="20" w:line="264" w:lineRule="auto"/>
              <w:jc w:val="center"/>
            </w:pPr>
            <w:r/>
            <w:r>
              <w:rPr>
                <w:sz w:val="21"/>
              </w:rPr>
              <w:t>65,7%</w:t>
            </w:r>
          </w:p>
        </w:tc>
        <w:tc>
          <w:tcPr>
            <w:tcW w:type="dxa" w:w="1984"/>
            <w:shd w:val="clear" w:color="auto" w:fill="F0F5FC"/>
          </w:tcPr>
          <w:p>
            <w:pPr>
              <w:spacing w:after="20" w:line="264" w:lineRule="auto"/>
              <w:jc w:val="center"/>
            </w:pPr>
            <w:r/>
            <w:r>
              <w:rPr>
                <w:sz w:val="21"/>
              </w:rPr>
              <w:t>66,2%</w:t>
            </w:r>
          </w:p>
        </w:tc>
      </w:tr>
      <w:tr>
        <w:trPr>
          <w:cantSplit w:val="true"/>
        </w:trPr>
        <w:tc>
          <w:tcPr>
            <w:tcW w:type="dxa" w:w="3118"/>
          </w:tcPr>
          <w:p>
            <w:pPr>
              <w:spacing w:after="20" w:line="264" w:lineRule="auto"/>
              <w:jc w:val="left"/>
            </w:pPr>
            <w:r>
              <w:rPr>
                <w:b/>
              </w:rPr>
            </w:r>
            <w:r>
              <w:rPr>
                <w:b/>
                <w:sz w:val="21"/>
              </w:rPr>
              <w:t>Entity không có relation</w:t>
            </w:r>
          </w:p>
        </w:tc>
        <w:tc>
          <w:tcPr>
            <w:tcW w:type="dxa" w:w="1984"/>
          </w:tcPr>
          <w:p>
            <w:pPr>
              <w:spacing w:after="20" w:line="264" w:lineRule="auto"/>
              <w:jc w:val="center"/>
            </w:pPr>
            <w:r/>
            <w:r>
              <w:rPr>
                <w:sz w:val="21"/>
              </w:rPr>
              <w:t>20,7%</w:t>
            </w:r>
          </w:p>
        </w:tc>
        <w:tc>
          <w:tcPr>
            <w:tcW w:type="dxa" w:w="1984"/>
          </w:tcPr>
          <w:p>
            <w:pPr>
              <w:spacing w:after="20" w:line="264" w:lineRule="auto"/>
              <w:jc w:val="center"/>
            </w:pPr>
            <w:r/>
            <w:r>
              <w:rPr>
                <w:sz w:val="21"/>
              </w:rPr>
              <w:t>21,5%</w:t>
            </w:r>
          </w:p>
        </w:tc>
        <w:tc>
          <w:tcPr>
            <w:tcW w:type="dxa" w:w="1984"/>
          </w:tcPr>
          <w:p>
            <w:pPr>
              <w:spacing w:after="20" w:line="264" w:lineRule="auto"/>
              <w:jc w:val="center"/>
            </w:pPr>
            <w:r/>
            <w:r>
              <w:rPr>
                <w:sz w:val="21"/>
              </w:rPr>
              <w:t>22,1%</w:t>
            </w:r>
          </w:p>
        </w:tc>
      </w:tr>
    </w:tbl>
    <w:p>
      <w:pPr>
        <w:spacing w:after="40"/>
      </w:pPr>
    </w:p>
    <w:p>
      <w:pPr>
        <w:keepNext/>
        <w:jc w:val="center"/>
      </w:pPr>
      <w:r>
        <w:drawing>
          <wp:inline xmlns:a="http://schemas.openxmlformats.org/drawingml/2006/main" xmlns:pic="http://schemas.openxmlformats.org/drawingml/2006/picture">
            <wp:extent cx="5940000" cy="2196165"/>
            <wp:docPr id="1" name="Picture 1"/>
            <wp:cNvGraphicFramePr>
              <a:graphicFrameLocks noChangeAspect="1"/>
            </wp:cNvGraphicFramePr>
            <a:graphic>
              <a:graphicData uri="http://schemas.openxmlformats.org/drawingml/2006/picture">
                <pic:pic>
                  <pic:nvPicPr>
                    <pic:cNvPr id="0" name="y3_fig1_growth.png"/>
                    <pic:cNvPicPr/>
                  </pic:nvPicPr>
                  <pic:blipFill>
                    <a:blip r:embed="rId10"/>
                    <a:stretch>
                      <a:fillRect/>
                    </a:stretch>
                  </pic:blipFill>
                  <pic:spPr>
                    <a:xfrm>
                      <a:off x="0" y="0"/>
                      <a:ext cx="5940000" cy="2196165"/>
                    </a:xfrm>
                    <a:prstGeom prst="rect"/>
                  </pic:spPr>
                </pic:pic>
              </a:graphicData>
            </a:graphic>
          </wp:inline>
        </w:drawing>
      </w:r>
    </w:p>
    <w:p>
      <w:pPr>
        <w:pStyle w:val="Caption"/>
        <w:jc w:val="center"/>
      </w:pPr>
      <w:r>
        <w:t>Hình 1. Tăng trưởng KG theo số bài: số entity, relation (a) và liên kết giữa các bài (b)</w:t>
      </w:r>
    </w:p>
    <w:p>
      <w:pPr>
        <w:ind w:firstLine="567"/>
      </w:pPr>
      <w:r>
        <w:rPr>
          <w:b/>
        </w:rPr>
        <w:t>KG chưa đạt saturation ở 30 bài.</w:t>
      </w:r>
      <w:r>
        <w:t xml:space="preserve"> Số entity và relation tăng gần tuyến tính theo số bài: trung bình mỗi bài thêm vào mang theo 301 entity mới (bài 2–10), 280 (bài 11–20) và 250 (bài 21–30), tính trên 20 thứ tự bài ngẫu nhiên. Số entity mới chỉ giảm khoảng 17%, tức là phần lớn entity của mỗi bài là riêng của bài đó. Đường cong được tính bằng cách chiếu KG30 xuống k bài đầu (một entity có mặt khi nó có nguồn trong k bài); so với KG dựng thật ở k = 10, 20 phép chiếu lệch dưới 0,3%.</w:t>
      </w:r>
    </w:p>
    <w:p>
      <w:pPr>
        <w:ind w:firstLine="567"/>
      </w:pPr>
      <w:r>
        <w:rPr>
          <w:b/>
        </w:rPr>
        <w:t>Liên kết giữa các bài tăng nhưng vẫn thấp.</w:t>
      </w:r>
      <w:r>
        <w:t xml:space="preserve"> Tỉ lệ entity xuất hiện ở ≥ 2 bài tăng từ 8,1% (KG10) lên 12,5% (KG30), tỉ lệ relation xuất hiện ở ≥ 2 bài từ 0,8% lên 2,4%: thêm bài cùng chủ đề làm tăng số khái niệm chung, nhưng gần như mọi relation chỉ được trích từ một bài. Average degree tăng nhẹ (1,99 → 2,24), largest connected component giữ ở khoảng 65% entity ở cả ba k.</w:t>
      </w:r>
    </w:p>
    <w:p>
      <w:pPr>
        <w:pStyle w:val="Heading2"/>
      </w:pPr>
      <w:r>
        <w:t>5.2. Entity coverage và relation completeness</w:t>
      </w:r>
    </w:p>
    <w:p>
      <w:pPr>
        <w:pStyle w:val="Caption"/>
        <w:keepNext/>
        <w:jc w:val="center"/>
      </w:pPr>
      <w:r>
        <w:t>Bảng 6. Entity coverage và relation completeness [CI 95%]</w:t>
      </w:r>
    </w:p>
    <w:tbl>
      <w:tblPr>
        <w:tblStyle w:val="TableGrid"/>
        <w:tblW w:type="auto" w:w="0"/>
        <w:jc w:val="center"/>
        <w:tblLayout w:type="fixed"/>
        <w:tblLook w:firstColumn="1" w:firstRow="1" w:lastColumn="0" w:lastRow="0" w:noHBand="0" w:noVBand="1" w:val="04A0"/>
      </w:tblPr>
      <w:tblGrid>
        <w:gridCol w:w="1008"/>
        <w:gridCol w:w="1008"/>
        <w:gridCol w:w="1008"/>
        <w:gridCol w:w="1008"/>
        <w:gridCol w:w="1008"/>
        <w:gridCol w:w="1008"/>
        <w:gridCol w:w="1008"/>
        <w:gridCol w:w="1008"/>
        <w:gridCol w:w="1008"/>
      </w:tblGrid>
      <w:tr>
        <w:trPr>
          <w:tblHeader w:val="true"/>
          <w:cantSplit w:val="true"/>
        </w:trPr>
        <w:tc>
          <w:tcPr>
            <w:tcW w:type="dxa" w:w="992"/>
            <w:shd w:val="clear" w:color="auto" w:fill="1C5CAB"/>
          </w:tcPr>
          <w:p>
            <w:pPr>
              <w:spacing w:after="20" w:line="264" w:lineRule="auto"/>
              <w:jc w:val="center"/>
            </w:pPr>
            <w:r/>
            <w:r>
              <w:rPr>
                <w:b/>
                <w:color w:val="FFFFFF"/>
                <w:sz w:val="17"/>
              </w:rPr>
              <w:t>Tập câu hỏi</w:t>
            </w:r>
          </w:p>
        </w:tc>
        <w:tc>
          <w:tcPr>
            <w:tcW w:type="dxa" w:w="765"/>
            <w:shd w:val="clear" w:color="auto" w:fill="1C5CAB"/>
          </w:tcPr>
          <w:p>
            <w:pPr>
              <w:spacing w:after="20" w:line="264" w:lineRule="auto"/>
              <w:jc w:val="center"/>
            </w:pPr>
            <w:r/>
            <w:r>
              <w:rPr>
                <w:b/>
                <w:color w:val="FFFFFF"/>
                <w:sz w:val="17"/>
              </w:rPr>
              <w:t>KG</w:t>
            </w:r>
          </w:p>
        </w:tc>
        <w:tc>
          <w:tcPr>
            <w:tcW w:type="dxa" w:w="1020"/>
            <w:shd w:val="clear" w:color="auto" w:fill="1C5CAB"/>
          </w:tcPr>
          <w:p>
            <w:pPr>
              <w:spacing w:after="20" w:line="264" w:lineRule="auto"/>
              <w:jc w:val="center"/>
            </w:pPr>
            <w:r/>
            <w:r>
              <w:rPr>
                <w:b/>
                <w:color w:val="FFFFFF"/>
                <w:sz w:val="17"/>
              </w:rPr>
              <w:t>Câu / entity / gold relation</w:t>
            </w:r>
          </w:p>
        </w:tc>
        <w:tc>
          <w:tcPr>
            <w:tcW w:type="dxa" w:w="1162"/>
            <w:shd w:val="clear" w:color="auto" w:fill="1C5CAB"/>
          </w:tcPr>
          <w:p>
            <w:pPr>
              <w:spacing w:after="20" w:line="264" w:lineRule="auto"/>
              <w:jc w:val="center"/>
            </w:pPr>
            <w:r/>
            <w:r>
              <w:rPr>
                <w:b/>
                <w:color w:val="FFFFFF"/>
                <w:sz w:val="17"/>
              </w:rPr>
              <w:t>Entity coverage</w:t>
            </w:r>
          </w:p>
        </w:tc>
        <w:tc>
          <w:tcPr>
            <w:tcW w:type="dxa" w:w="1162"/>
            <w:shd w:val="clear" w:color="auto" w:fill="1C5CAB"/>
          </w:tcPr>
          <w:p>
            <w:pPr>
              <w:spacing w:after="20" w:line="264" w:lineRule="auto"/>
              <w:jc w:val="center"/>
            </w:pPr>
            <w:r/>
            <w:r>
              <w:rPr>
                <w:b/>
                <w:color w:val="FFFFFF"/>
                <w:sz w:val="17"/>
              </w:rPr>
              <w:t>Relation compl.</w:t>
            </w:r>
          </w:p>
        </w:tc>
        <w:tc>
          <w:tcPr>
            <w:tcW w:type="dxa" w:w="1162"/>
            <w:shd w:val="clear" w:color="auto" w:fill="1C5CAB"/>
          </w:tcPr>
          <w:p>
            <w:pPr>
              <w:spacing w:after="20" w:line="264" w:lineRule="auto"/>
              <w:jc w:val="center"/>
            </w:pPr>
            <w:r/>
            <w:r>
              <w:rPr>
                <w:b/>
                <w:color w:val="FFFFFF"/>
                <w:sz w:val="17"/>
              </w:rPr>
              <w:t>Relation compl. hiệu chỉnh</w:t>
            </w:r>
          </w:p>
        </w:tc>
        <w:tc>
          <w:tcPr>
            <w:tcW w:type="dxa" w:w="935"/>
            <w:shd w:val="clear" w:color="auto" w:fill="1C5CAB"/>
          </w:tcPr>
          <w:p>
            <w:pPr>
              <w:spacing w:after="20" w:line="264" w:lineRule="auto"/>
              <w:jc w:val="center"/>
            </w:pPr>
            <w:r/>
            <w:r>
              <w:rPr>
                <w:b/>
                <w:color w:val="FFFFFF"/>
                <w:sz w:val="17"/>
              </w:rPr>
              <w:t>Entity cov. (lenient)</w:t>
            </w:r>
          </w:p>
        </w:tc>
        <w:tc>
          <w:tcPr>
            <w:tcW w:type="dxa" w:w="935"/>
            <w:shd w:val="clear" w:color="auto" w:fill="1C5CAB"/>
          </w:tcPr>
          <w:p>
            <w:pPr>
              <w:spacing w:after="20" w:line="264" w:lineRule="auto"/>
              <w:jc w:val="center"/>
            </w:pPr>
            <w:r/>
            <w:r>
              <w:rPr>
                <w:b/>
                <w:color w:val="FFFFFF"/>
                <w:sz w:val="17"/>
              </w:rPr>
              <w:t>Relation compl. (lenient)</w:t>
            </w:r>
          </w:p>
        </w:tc>
        <w:tc>
          <w:tcPr>
            <w:tcW w:type="dxa" w:w="935"/>
            <w:shd w:val="clear" w:color="auto" w:fill="1C5CAB"/>
          </w:tcPr>
          <w:p>
            <w:pPr>
              <w:spacing w:after="20" w:line="264" w:lineRule="auto"/>
              <w:jc w:val="center"/>
            </w:pPr>
            <w:r/>
            <w:r>
              <w:rPr>
                <w:b/>
                <w:color w:val="FFFFFF"/>
                <w:sz w:val="17"/>
              </w:rPr>
              <w:t>Nối trong ≤ 2 bước</w:t>
            </w:r>
          </w:p>
        </w:tc>
      </w:tr>
      <w:tr>
        <w:trPr>
          <w:cantSplit w:val="true"/>
        </w:trPr>
        <w:tc>
          <w:tcPr>
            <w:tcW w:type="dxa" w:w="992"/>
          </w:tcPr>
          <w:p>
            <w:pPr>
              <w:spacing w:after="20" w:line="264" w:lineRule="auto"/>
              <w:jc w:val="left"/>
            </w:pPr>
            <w:r>
              <w:rPr>
                <w:b/>
              </w:rPr>
            </w:r>
            <w:r>
              <w:rPr>
                <w:b/>
                <w:sz w:val="17"/>
              </w:rPr>
              <w:t>In-scope</w:t>
            </w:r>
          </w:p>
        </w:tc>
        <w:tc>
          <w:tcPr>
            <w:tcW w:type="dxa" w:w="765"/>
          </w:tcPr>
          <w:p>
            <w:pPr>
              <w:spacing w:after="20" w:line="264" w:lineRule="auto"/>
              <w:jc w:val="left"/>
            </w:pPr>
            <w:r/>
            <w:r>
              <w:rPr>
                <w:sz w:val="17"/>
              </w:rPr>
              <w:t>KG10</w:t>
            </w:r>
          </w:p>
        </w:tc>
        <w:tc>
          <w:tcPr>
            <w:tcW w:type="dxa" w:w="1020"/>
          </w:tcPr>
          <w:p>
            <w:pPr>
              <w:spacing w:after="20" w:line="264" w:lineRule="auto"/>
              <w:jc w:val="center"/>
            </w:pPr>
            <w:r/>
            <w:r>
              <w:rPr>
                <w:sz w:val="17"/>
              </w:rPr>
              <w:t>15 / 74 / 59</w:t>
            </w:r>
          </w:p>
        </w:tc>
        <w:tc>
          <w:tcPr>
            <w:tcW w:type="dxa" w:w="1162"/>
          </w:tcPr>
          <w:p>
            <w:pPr>
              <w:spacing w:after="20" w:line="264" w:lineRule="auto"/>
              <w:jc w:val="center"/>
            </w:pPr>
            <w:r/>
            <w:r>
              <w:rPr>
                <w:sz w:val="17"/>
              </w:rPr>
              <w:t>90,5%</w:t>
              <w:br/>
              <w:t>[83,8%; 95,9%]</w:t>
            </w:r>
          </w:p>
        </w:tc>
        <w:tc>
          <w:tcPr>
            <w:tcW w:type="dxa" w:w="1162"/>
          </w:tcPr>
          <w:p>
            <w:pPr>
              <w:spacing w:after="20" w:line="264" w:lineRule="auto"/>
              <w:jc w:val="center"/>
            </w:pPr>
            <w:r/>
            <w:r>
              <w:rPr>
                <w:sz w:val="17"/>
              </w:rPr>
              <w:t>39,0%</w:t>
              <w:br/>
              <w:t>[27,1%; 50,8%]</w:t>
            </w:r>
          </w:p>
        </w:tc>
        <w:tc>
          <w:tcPr>
            <w:tcW w:type="dxa" w:w="1162"/>
          </w:tcPr>
          <w:p>
            <w:pPr>
              <w:spacing w:after="20" w:line="264" w:lineRule="auto"/>
              <w:jc w:val="center"/>
            </w:pPr>
            <w:r/>
            <w:r>
              <w:rPr>
                <w:sz w:val="17"/>
              </w:rPr>
              <w:t>35,1%</w:t>
              <w:br/>
              <w:t>[23,8%; 47,0%]</w:t>
            </w:r>
          </w:p>
        </w:tc>
        <w:tc>
          <w:tcPr>
            <w:tcW w:type="dxa" w:w="935"/>
          </w:tcPr>
          <w:p>
            <w:pPr>
              <w:spacing w:after="20" w:line="264" w:lineRule="auto"/>
              <w:jc w:val="center"/>
            </w:pPr>
            <w:r/>
            <w:r>
              <w:rPr>
                <w:sz w:val="17"/>
              </w:rPr>
              <w:t>94,6%</w:t>
            </w:r>
          </w:p>
        </w:tc>
        <w:tc>
          <w:tcPr>
            <w:tcW w:type="dxa" w:w="935"/>
          </w:tcPr>
          <w:p>
            <w:pPr>
              <w:spacing w:after="20" w:line="264" w:lineRule="auto"/>
              <w:jc w:val="center"/>
            </w:pPr>
            <w:r/>
            <w:r>
              <w:rPr>
                <w:sz w:val="17"/>
              </w:rPr>
              <w:t>55,9%</w:t>
            </w:r>
          </w:p>
        </w:tc>
        <w:tc>
          <w:tcPr>
            <w:tcW w:type="dxa" w:w="935"/>
          </w:tcPr>
          <w:p>
            <w:pPr>
              <w:spacing w:after="20" w:line="264" w:lineRule="auto"/>
              <w:jc w:val="center"/>
            </w:pPr>
            <w:r/>
            <w:r>
              <w:rPr>
                <w:sz w:val="17"/>
              </w:rPr>
              <w:t>55,9%</w:t>
            </w:r>
          </w:p>
        </w:tc>
      </w:tr>
      <w:tr>
        <w:trPr>
          <w:cantSplit w:val="true"/>
        </w:trPr>
        <w:tc>
          <w:tcPr>
            <w:tcW w:type="dxa" w:w="992"/>
            <w:shd w:val="clear" w:color="auto" w:fill="F0F5FC"/>
          </w:tcPr>
          <w:p>
            <w:pPr>
              <w:spacing w:after="20" w:line="264" w:lineRule="auto"/>
              <w:jc w:val="left"/>
            </w:pPr>
            <w:r>
              <w:rPr>
                <w:b/>
              </w:rPr>
            </w:r>
          </w:p>
        </w:tc>
        <w:tc>
          <w:tcPr>
            <w:tcW w:type="dxa" w:w="765"/>
            <w:shd w:val="clear" w:color="auto" w:fill="F0F5FC"/>
          </w:tcPr>
          <w:p>
            <w:pPr>
              <w:spacing w:after="20" w:line="264" w:lineRule="auto"/>
              <w:jc w:val="left"/>
            </w:pPr>
            <w:r/>
            <w:r>
              <w:rPr>
                <w:sz w:val="17"/>
              </w:rPr>
              <w:t>KG20</w:t>
            </w:r>
          </w:p>
        </w:tc>
        <w:tc>
          <w:tcPr>
            <w:tcW w:type="dxa" w:w="1020"/>
            <w:shd w:val="clear" w:color="auto" w:fill="F0F5FC"/>
          </w:tcPr>
          <w:p>
            <w:pPr>
              <w:spacing w:after="20" w:line="264" w:lineRule="auto"/>
              <w:jc w:val="center"/>
            </w:pPr>
            <w:r/>
            <w:r>
              <w:rPr>
                <w:sz w:val="17"/>
              </w:rPr>
              <w:t>37 / 167 / 151</w:t>
            </w:r>
          </w:p>
        </w:tc>
        <w:tc>
          <w:tcPr>
            <w:tcW w:type="dxa" w:w="1162"/>
            <w:shd w:val="clear" w:color="auto" w:fill="F0F5FC"/>
          </w:tcPr>
          <w:p>
            <w:pPr>
              <w:spacing w:after="20" w:line="264" w:lineRule="auto"/>
              <w:jc w:val="center"/>
            </w:pPr>
            <w:r/>
            <w:r>
              <w:rPr>
                <w:sz w:val="17"/>
              </w:rPr>
              <w:t>90,4%</w:t>
              <w:br/>
              <w:t>[86,2%; 94,6%]</w:t>
            </w:r>
          </w:p>
        </w:tc>
        <w:tc>
          <w:tcPr>
            <w:tcW w:type="dxa" w:w="1162"/>
            <w:shd w:val="clear" w:color="auto" w:fill="F0F5FC"/>
          </w:tcPr>
          <w:p>
            <w:pPr>
              <w:spacing w:after="20" w:line="264" w:lineRule="auto"/>
              <w:jc w:val="center"/>
            </w:pPr>
            <w:r/>
            <w:r>
              <w:rPr>
                <w:sz w:val="17"/>
              </w:rPr>
              <w:t>37,1%</w:t>
              <w:br/>
              <w:t>[29,1%; 45,0%]</w:t>
            </w:r>
          </w:p>
        </w:tc>
        <w:tc>
          <w:tcPr>
            <w:tcW w:type="dxa" w:w="1162"/>
            <w:shd w:val="clear" w:color="auto" w:fill="F0F5FC"/>
          </w:tcPr>
          <w:p>
            <w:pPr>
              <w:spacing w:after="20" w:line="264" w:lineRule="auto"/>
              <w:jc w:val="center"/>
            </w:pPr>
            <w:r/>
            <w:r>
              <w:rPr>
                <w:sz w:val="17"/>
              </w:rPr>
              <w:t>33,4%</w:t>
              <w:br/>
              <w:t>[25,9%; 42,0%]</w:t>
            </w:r>
          </w:p>
        </w:tc>
        <w:tc>
          <w:tcPr>
            <w:tcW w:type="dxa" w:w="935"/>
            <w:shd w:val="clear" w:color="auto" w:fill="F0F5FC"/>
          </w:tcPr>
          <w:p>
            <w:pPr>
              <w:spacing w:after="20" w:line="264" w:lineRule="auto"/>
              <w:jc w:val="center"/>
            </w:pPr>
            <w:r/>
            <w:r>
              <w:rPr>
                <w:sz w:val="17"/>
              </w:rPr>
              <w:t>94,6%</w:t>
            </w:r>
          </w:p>
        </w:tc>
        <w:tc>
          <w:tcPr>
            <w:tcW w:type="dxa" w:w="935"/>
            <w:shd w:val="clear" w:color="auto" w:fill="F0F5FC"/>
          </w:tcPr>
          <w:p>
            <w:pPr>
              <w:spacing w:after="20" w:line="264" w:lineRule="auto"/>
              <w:jc w:val="center"/>
            </w:pPr>
            <w:r/>
            <w:r>
              <w:rPr>
                <w:sz w:val="17"/>
              </w:rPr>
              <w:t>57,0%</w:t>
            </w:r>
          </w:p>
        </w:tc>
        <w:tc>
          <w:tcPr>
            <w:tcW w:type="dxa" w:w="935"/>
            <w:shd w:val="clear" w:color="auto" w:fill="F0F5FC"/>
          </w:tcPr>
          <w:p>
            <w:pPr>
              <w:spacing w:after="20" w:line="264" w:lineRule="auto"/>
              <w:jc w:val="center"/>
            </w:pPr>
            <w:r/>
            <w:r>
              <w:rPr>
                <w:sz w:val="17"/>
              </w:rPr>
              <w:t>62,9%</w:t>
            </w:r>
          </w:p>
        </w:tc>
      </w:tr>
      <w:tr>
        <w:trPr>
          <w:cantSplit w:val="true"/>
        </w:trPr>
        <w:tc>
          <w:tcPr>
            <w:tcW w:type="dxa" w:w="992"/>
          </w:tcPr>
          <w:p>
            <w:pPr>
              <w:spacing w:after="20" w:line="264" w:lineRule="auto"/>
              <w:jc w:val="left"/>
            </w:pPr>
            <w:r>
              <w:rPr>
                <w:b/>
              </w:rPr>
            </w:r>
          </w:p>
        </w:tc>
        <w:tc>
          <w:tcPr>
            <w:tcW w:type="dxa" w:w="765"/>
          </w:tcPr>
          <w:p>
            <w:pPr>
              <w:spacing w:after="20" w:line="264" w:lineRule="auto"/>
              <w:jc w:val="left"/>
            </w:pPr>
            <w:r/>
            <w:r>
              <w:rPr>
                <w:sz w:val="17"/>
              </w:rPr>
              <w:t>KG30</w:t>
            </w:r>
          </w:p>
        </w:tc>
        <w:tc>
          <w:tcPr>
            <w:tcW w:type="dxa" w:w="1020"/>
          </w:tcPr>
          <w:p>
            <w:pPr>
              <w:spacing w:after="20" w:line="264" w:lineRule="auto"/>
              <w:jc w:val="center"/>
            </w:pPr>
            <w:r/>
            <w:r>
              <w:rPr>
                <w:sz w:val="17"/>
              </w:rPr>
              <w:t>62 / 262 / 250</w:t>
            </w:r>
          </w:p>
        </w:tc>
        <w:tc>
          <w:tcPr>
            <w:tcW w:type="dxa" w:w="1162"/>
          </w:tcPr>
          <w:p>
            <w:pPr>
              <w:spacing w:after="20" w:line="264" w:lineRule="auto"/>
              <w:jc w:val="center"/>
            </w:pPr>
            <w:r/>
            <w:r>
              <w:rPr>
                <w:sz w:val="17"/>
              </w:rPr>
              <w:t>89,3%</w:t>
              <w:br/>
              <w:t>[85,5%; 92,7%]</w:t>
            </w:r>
          </w:p>
        </w:tc>
        <w:tc>
          <w:tcPr>
            <w:tcW w:type="dxa" w:w="1162"/>
          </w:tcPr>
          <w:p>
            <w:pPr>
              <w:spacing w:after="20" w:line="264" w:lineRule="auto"/>
              <w:jc w:val="center"/>
            </w:pPr>
            <w:r/>
            <w:r>
              <w:rPr>
                <w:sz w:val="17"/>
              </w:rPr>
              <w:t>41,6%</w:t>
              <w:br/>
              <w:t>[35,6%; 47,6%]</w:t>
            </w:r>
          </w:p>
        </w:tc>
        <w:tc>
          <w:tcPr>
            <w:tcW w:type="dxa" w:w="1162"/>
          </w:tcPr>
          <w:p>
            <w:pPr>
              <w:spacing w:after="20" w:line="264" w:lineRule="auto"/>
              <w:jc w:val="center"/>
            </w:pPr>
            <w:r/>
            <w:r>
              <w:rPr>
                <w:sz w:val="17"/>
              </w:rPr>
              <w:t>37,4%</w:t>
              <w:br/>
              <w:t>[31,0%; 44,1%]</w:t>
            </w:r>
          </w:p>
        </w:tc>
        <w:tc>
          <w:tcPr>
            <w:tcW w:type="dxa" w:w="935"/>
          </w:tcPr>
          <w:p>
            <w:pPr>
              <w:spacing w:after="20" w:line="264" w:lineRule="auto"/>
              <w:jc w:val="center"/>
            </w:pPr>
            <w:r/>
            <w:r>
              <w:rPr>
                <w:sz w:val="17"/>
              </w:rPr>
              <w:t>92,8%</w:t>
            </w:r>
          </w:p>
        </w:tc>
        <w:tc>
          <w:tcPr>
            <w:tcW w:type="dxa" w:w="935"/>
          </w:tcPr>
          <w:p>
            <w:pPr>
              <w:spacing w:after="20" w:line="264" w:lineRule="auto"/>
              <w:jc w:val="center"/>
            </w:pPr>
            <w:r/>
            <w:r>
              <w:rPr>
                <w:sz w:val="17"/>
              </w:rPr>
              <w:t>56,0%</w:t>
            </w:r>
          </w:p>
        </w:tc>
        <w:tc>
          <w:tcPr>
            <w:tcW w:type="dxa" w:w="935"/>
          </w:tcPr>
          <w:p>
            <w:pPr>
              <w:spacing w:after="20" w:line="264" w:lineRule="auto"/>
              <w:jc w:val="center"/>
            </w:pPr>
            <w:r/>
            <w:r>
              <w:rPr>
                <w:sz w:val="17"/>
              </w:rPr>
              <w:t>65,2%</w:t>
            </w:r>
          </w:p>
        </w:tc>
      </w:tr>
      <w:tr>
        <w:trPr>
          <w:cantSplit w:val="true"/>
        </w:trPr>
        <w:tc>
          <w:tcPr>
            <w:tcW w:type="dxa" w:w="992"/>
            <w:shd w:val="clear" w:color="auto" w:fill="F0F5FC"/>
          </w:tcPr>
          <w:p>
            <w:pPr>
              <w:spacing w:after="20" w:line="264" w:lineRule="auto"/>
              <w:jc w:val="left"/>
            </w:pPr>
            <w:r>
              <w:rPr>
                <w:b/>
              </w:rPr>
            </w:r>
            <w:r>
              <w:rPr>
                <w:b/>
                <w:sz w:val="17"/>
              </w:rPr>
              <w:t>S10 (cố định)</w:t>
            </w:r>
          </w:p>
        </w:tc>
        <w:tc>
          <w:tcPr>
            <w:tcW w:type="dxa" w:w="765"/>
            <w:shd w:val="clear" w:color="auto" w:fill="F0F5FC"/>
          </w:tcPr>
          <w:p>
            <w:pPr>
              <w:spacing w:after="20" w:line="264" w:lineRule="auto"/>
              <w:jc w:val="left"/>
            </w:pPr>
            <w:r/>
            <w:r>
              <w:rPr>
                <w:sz w:val="17"/>
              </w:rPr>
              <w:t>KG10</w:t>
            </w:r>
          </w:p>
        </w:tc>
        <w:tc>
          <w:tcPr>
            <w:tcW w:type="dxa" w:w="1020"/>
            <w:shd w:val="clear" w:color="auto" w:fill="F0F5FC"/>
          </w:tcPr>
          <w:p>
            <w:pPr>
              <w:spacing w:after="20" w:line="264" w:lineRule="auto"/>
              <w:jc w:val="center"/>
            </w:pPr>
            <w:r/>
            <w:r>
              <w:rPr>
                <w:sz w:val="17"/>
              </w:rPr>
              <w:t>15 / 74 / 59</w:t>
            </w:r>
          </w:p>
        </w:tc>
        <w:tc>
          <w:tcPr>
            <w:tcW w:type="dxa" w:w="1162"/>
            <w:shd w:val="clear" w:color="auto" w:fill="F0F5FC"/>
          </w:tcPr>
          <w:p>
            <w:pPr>
              <w:spacing w:after="20" w:line="264" w:lineRule="auto"/>
              <w:jc w:val="center"/>
            </w:pPr>
            <w:r/>
            <w:r>
              <w:rPr>
                <w:sz w:val="17"/>
              </w:rPr>
              <w:t>90,5%</w:t>
              <w:br/>
              <w:t>[83,8%; 95,9%]</w:t>
            </w:r>
          </w:p>
        </w:tc>
        <w:tc>
          <w:tcPr>
            <w:tcW w:type="dxa" w:w="1162"/>
            <w:shd w:val="clear" w:color="auto" w:fill="F0F5FC"/>
          </w:tcPr>
          <w:p>
            <w:pPr>
              <w:spacing w:after="20" w:line="264" w:lineRule="auto"/>
              <w:jc w:val="center"/>
            </w:pPr>
            <w:r/>
            <w:r>
              <w:rPr>
                <w:sz w:val="17"/>
              </w:rPr>
              <w:t>39,0%</w:t>
              <w:br/>
              <w:t>[27,1%; 50,8%]</w:t>
            </w:r>
          </w:p>
        </w:tc>
        <w:tc>
          <w:tcPr>
            <w:tcW w:type="dxa" w:w="1162"/>
            <w:shd w:val="clear" w:color="auto" w:fill="F0F5FC"/>
          </w:tcPr>
          <w:p>
            <w:pPr>
              <w:spacing w:after="20" w:line="264" w:lineRule="auto"/>
              <w:jc w:val="center"/>
            </w:pPr>
            <w:r/>
            <w:r>
              <w:rPr>
                <w:sz w:val="17"/>
              </w:rPr>
              <w:t>35,1%</w:t>
              <w:br/>
              <w:t>[23,8%; 47,0%]</w:t>
            </w:r>
          </w:p>
        </w:tc>
        <w:tc>
          <w:tcPr>
            <w:tcW w:type="dxa" w:w="935"/>
            <w:shd w:val="clear" w:color="auto" w:fill="F0F5FC"/>
          </w:tcPr>
          <w:p>
            <w:pPr>
              <w:spacing w:after="20" w:line="264" w:lineRule="auto"/>
              <w:jc w:val="center"/>
            </w:pPr>
            <w:r/>
            <w:r>
              <w:rPr>
                <w:sz w:val="17"/>
              </w:rPr>
              <w:t>94,6%</w:t>
            </w:r>
          </w:p>
        </w:tc>
        <w:tc>
          <w:tcPr>
            <w:tcW w:type="dxa" w:w="935"/>
            <w:shd w:val="clear" w:color="auto" w:fill="F0F5FC"/>
          </w:tcPr>
          <w:p>
            <w:pPr>
              <w:spacing w:after="20" w:line="264" w:lineRule="auto"/>
              <w:jc w:val="center"/>
            </w:pPr>
            <w:r/>
            <w:r>
              <w:rPr>
                <w:sz w:val="17"/>
              </w:rPr>
              <w:t>55,9%</w:t>
            </w:r>
          </w:p>
        </w:tc>
        <w:tc>
          <w:tcPr>
            <w:tcW w:type="dxa" w:w="935"/>
            <w:shd w:val="clear" w:color="auto" w:fill="F0F5FC"/>
          </w:tcPr>
          <w:p>
            <w:pPr>
              <w:spacing w:after="20" w:line="264" w:lineRule="auto"/>
              <w:jc w:val="center"/>
            </w:pPr>
            <w:r/>
            <w:r>
              <w:rPr>
                <w:sz w:val="17"/>
              </w:rPr>
              <w:t>55,9%</w:t>
            </w:r>
          </w:p>
        </w:tc>
      </w:tr>
      <w:tr>
        <w:trPr>
          <w:cantSplit w:val="true"/>
        </w:trPr>
        <w:tc>
          <w:tcPr>
            <w:tcW w:type="dxa" w:w="992"/>
          </w:tcPr>
          <w:p>
            <w:pPr>
              <w:spacing w:after="20" w:line="264" w:lineRule="auto"/>
              <w:jc w:val="left"/>
            </w:pPr>
            <w:r>
              <w:rPr>
                <w:b/>
              </w:rPr>
            </w:r>
          </w:p>
        </w:tc>
        <w:tc>
          <w:tcPr>
            <w:tcW w:type="dxa" w:w="765"/>
          </w:tcPr>
          <w:p>
            <w:pPr>
              <w:spacing w:after="20" w:line="264" w:lineRule="auto"/>
              <w:jc w:val="left"/>
            </w:pPr>
            <w:r/>
            <w:r>
              <w:rPr>
                <w:sz w:val="17"/>
              </w:rPr>
              <w:t>KG20</w:t>
            </w:r>
          </w:p>
        </w:tc>
        <w:tc>
          <w:tcPr>
            <w:tcW w:type="dxa" w:w="1020"/>
          </w:tcPr>
          <w:p>
            <w:pPr>
              <w:spacing w:after="20" w:line="264" w:lineRule="auto"/>
              <w:jc w:val="center"/>
            </w:pPr>
            <w:r/>
            <w:r>
              <w:rPr>
                <w:sz w:val="17"/>
              </w:rPr>
              <w:t>15 / 74 / 59</w:t>
            </w:r>
          </w:p>
        </w:tc>
        <w:tc>
          <w:tcPr>
            <w:tcW w:type="dxa" w:w="1162"/>
          </w:tcPr>
          <w:p>
            <w:pPr>
              <w:spacing w:after="20" w:line="264" w:lineRule="auto"/>
              <w:jc w:val="center"/>
            </w:pPr>
            <w:r/>
            <w:r>
              <w:rPr>
                <w:sz w:val="17"/>
              </w:rPr>
              <w:t>93,2%</w:t>
              <w:br/>
              <w:t>[86,5%; 98,6%]</w:t>
            </w:r>
          </w:p>
        </w:tc>
        <w:tc>
          <w:tcPr>
            <w:tcW w:type="dxa" w:w="1162"/>
          </w:tcPr>
          <w:p>
            <w:pPr>
              <w:spacing w:after="20" w:line="264" w:lineRule="auto"/>
              <w:jc w:val="center"/>
            </w:pPr>
            <w:r/>
            <w:r>
              <w:rPr>
                <w:sz w:val="17"/>
              </w:rPr>
              <w:t>40,7%</w:t>
              <w:br/>
              <w:t>[28,8%; 52,5%]</w:t>
            </w:r>
          </w:p>
        </w:tc>
        <w:tc>
          <w:tcPr>
            <w:tcW w:type="dxa" w:w="1162"/>
          </w:tcPr>
          <w:p>
            <w:pPr>
              <w:spacing w:after="20" w:line="264" w:lineRule="auto"/>
              <w:jc w:val="center"/>
            </w:pPr>
            <w:r/>
            <w:r>
              <w:rPr>
                <w:sz w:val="17"/>
              </w:rPr>
              <w:t>36,6%</w:t>
              <w:br/>
              <w:t>[25,2%; 48,6%]</w:t>
            </w:r>
          </w:p>
        </w:tc>
        <w:tc>
          <w:tcPr>
            <w:tcW w:type="dxa" w:w="935"/>
          </w:tcPr>
          <w:p>
            <w:pPr>
              <w:spacing w:after="20" w:line="264" w:lineRule="auto"/>
              <w:jc w:val="center"/>
            </w:pPr>
            <w:r/>
            <w:r>
              <w:rPr>
                <w:sz w:val="17"/>
              </w:rPr>
              <w:t>96,0%</w:t>
            </w:r>
          </w:p>
        </w:tc>
        <w:tc>
          <w:tcPr>
            <w:tcW w:type="dxa" w:w="935"/>
          </w:tcPr>
          <w:p>
            <w:pPr>
              <w:spacing w:after="20" w:line="264" w:lineRule="auto"/>
              <w:jc w:val="center"/>
            </w:pPr>
            <w:r/>
            <w:r>
              <w:rPr>
                <w:sz w:val="17"/>
              </w:rPr>
              <w:t>61,0%</w:t>
            </w:r>
          </w:p>
        </w:tc>
        <w:tc>
          <w:tcPr>
            <w:tcW w:type="dxa" w:w="935"/>
          </w:tcPr>
          <w:p>
            <w:pPr>
              <w:spacing w:after="20" w:line="264" w:lineRule="auto"/>
              <w:jc w:val="center"/>
            </w:pPr>
            <w:r/>
            <w:r>
              <w:rPr>
                <w:sz w:val="17"/>
              </w:rPr>
              <w:t>61,0%</w:t>
            </w:r>
          </w:p>
        </w:tc>
      </w:tr>
      <w:tr>
        <w:trPr>
          <w:cantSplit w:val="true"/>
        </w:trPr>
        <w:tc>
          <w:tcPr>
            <w:tcW w:type="dxa" w:w="992"/>
            <w:shd w:val="clear" w:color="auto" w:fill="F0F5FC"/>
          </w:tcPr>
          <w:p>
            <w:pPr>
              <w:spacing w:after="20" w:line="264" w:lineRule="auto"/>
              <w:jc w:val="left"/>
            </w:pPr>
            <w:r>
              <w:rPr>
                <w:b/>
              </w:rPr>
            </w:r>
          </w:p>
        </w:tc>
        <w:tc>
          <w:tcPr>
            <w:tcW w:type="dxa" w:w="765"/>
            <w:shd w:val="clear" w:color="auto" w:fill="F0F5FC"/>
          </w:tcPr>
          <w:p>
            <w:pPr>
              <w:spacing w:after="20" w:line="264" w:lineRule="auto"/>
              <w:jc w:val="left"/>
            </w:pPr>
            <w:r/>
            <w:r>
              <w:rPr>
                <w:sz w:val="17"/>
              </w:rPr>
              <w:t>KG30</w:t>
            </w:r>
          </w:p>
        </w:tc>
        <w:tc>
          <w:tcPr>
            <w:tcW w:type="dxa" w:w="1020"/>
            <w:shd w:val="clear" w:color="auto" w:fill="F0F5FC"/>
          </w:tcPr>
          <w:p>
            <w:pPr>
              <w:spacing w:after="20" w:line="264" w:lineRule="auto"/>
              <w:jc w:val="center"/>
            </w:pPr>
            <w:r/>
            <w:r>
              <w:rPr>
                <w:sz w:val="17"/>
              </w:rPr>
              <w:t>15 / 74 / 59</w:t>
            </w:r>
          </w:p>
        </w:tc>
        <w:tc>
          <w:tcPr>
            <w:tcW w:type="dxa" w:w="1162"/>
            <w:shd w:val="clear" w:color="auto" w:fill="F0F5FC"/>
          </w:tcPr>
          <w:p>
            <w:pPr>
              <w:spacing w:after="20" w:line="264" w:lineRule="auto"/>
              <w:jc w:val="center"/>
            </w:pPr>
            <w:r/>
            <w:r>
              <w:rPr>
                <w:sz w:val="17"/>
              </w:rPr>
              <w:t>93,2%</w:t>
              <w:br/>
              <w:t>[86,5%; 98,6%]</w:t>
            </w:r>
          </w:p>
        </w:tc>
        <w:tc>
          <w:tcPr>
            <w:tcW w:type="dxa" w:w="1162"/>
            <w:shd w:val="clear" w:color="auto" w:fill="F0F5FC"/>
          </w:tcPr>
          <w:p>
            <w:pPr>
              <w:spacing w:after="20" w:line="264" w:lineRule="auto"/>
              <w:jc w:val="center"/>
            </w:pPr>
            <w:r/>
            <w:r>
              <w:rPr>
                <w:sz w:val="17"/>
              </w:rPr>
              <w:t>44,1%</w:t>
              <w:br/>
              <w:t>[32,2%; 55,9%]</w:t>
            </w:r>
          </w:p>
        </w:tc>
        <w:tc>
          <w:tcPr>
            <w:tcW w:type="dxa" w:w="1162"/>
            <w:shd w:val="clear" w:color="auto" w:fill="F0F5FC"/>
          </w:tcPr>
          <w:p>
            <w:pPr>
              <w:spacing w:after="20" w:line="264" w:lineRule="auto"/>
              <w:jc w:val="center"/>
            </w:pPr>
            <w:r/>
            <w:r>
              <w:rPr>
                <w:sz w:val="17"/>
              </w:rPr>
              <w:t>39,7%</w:t>
              <w:br/>
              <w:t>[28,0%; 51,7%]</w:t>
            </w:r>
          </w:p>
        </w:tc>
        <w:tc>
          <w:tcPr>
            <w:tcW w:type="dxa" w:w="935"/>
            <w:shd w:val="clear" w:color="auto" w:fill="F0F5FC"/>
          </w:tcPr>
          <w:p>
            <w:pPr>
              <w:spacing w:after="20" w:line="264" w:lineRule="auto"/>
              <w:jc w:val="center"/>
            </w:pPr>
            <w:r/>
            <w:r>
              <w:rPr>
                <w:sz w:val="17"/>
              </w:rPr>
              <w:t>96,0%</w:t>
            </w:r>
          </w:p>
        </w:tc>
        <w:tc>
          <w:tcPr>
            <w:tcW w:type="dxa" w:w="935"/>
            <w:shd w:val="clear" w:color="auto" w:fill="F0F5FC"/>
          </w:tcPr>
          <w:p>
            <w:pPr>
              <w:spacing w:after="20" w:line="264" w:lineRule="auto"/>
              <w:jc w:val="center"/>
            </w:pPr>
            <w:r/>
            <w:r>
              <w:rPr>
                <w:sz w:val="17"/>
              </w:rPr>
              <w:t>62,7%</w:t>
            </w:r>
          </w:p>
        </w:tc>
        <w:tc>
          <w:tcPr>
            <w:tcW w:type="dxa" w:w="935"/>
            <w:shd w:val="clear" w:color="auto" w:fill="F0F5FC"/>
          </w:tcPr>
          <w:p>
            <w:pPr>
              <w:spacing w:after="20" w:line="264" w:lineRule="auto"/>
              <w:jc w:val="center"/>
            </w:pPr>
            <w:r/>
            <w:r>
              <w:rPr>
                <w:sz w:val="17"/>
              </w:rPr>
              <w:t>69,5%</w:t>
            </w:r>
          </w:p>
        </w:tc>
      </w:tr>
      <w:tr>
        <w:trPr>
          <w:cantSplit w:val="true"/>
        </w:trPr>
        <w:tc>
          <w:tcPr>
            <w:tcW w:type="dxa" w:w="992"/>
          </w:tcPr>
          <w:p>
            <w:pPr>
              <w:spacing w:after="20" w:line="264" w:lineRule="auto"/>
              <w:jc w:val="left"/>
            </w:pPr>
            <w:r>
              <w:rPr>
                <w:b/>
              </w:rPr>
            </w:r>
            <w:r>
              <w:rPr>
                <w:b/>
                <w:sz w:val="17"/>
              </w:rPr>
              <w:t>S20 (cố định)</w:t>
            </w:r>
          </w:p>
        </w:tc>
        <w:tc>
          <w:tcPr>
            <w:tcW w:type="dxa" w:w="765"/>
          </w:tcPr>
          <w:p>
            <w:pPr>
              <w:spacing w:after="20" w:line="264" w:lineRule="auto"/>
              <w:jc w:val="left"/>
            </w:pPr>
            <w:r/>
            <w:r>
              <w:rPr>
                <w:sz w:val="17"/>
              </w:rPr>
              <w:t>KG20</w:t>
            </w:r>
          </w:p>
        </w:tc>
        <w:tc>
          <w:tcPr>
            <w:tcW w:type="dxa" w:w="1020"/>
          </w:tcPr>
          <w:p>
            <w:pPr>
              <w:spacing w:after="20" w:line="264" w:lineRule="auto"/>
              <w:jc w:val="center"/>
            </w:pPr>
            <w:r/>
            <w:r>
              <w:rPr>
                <w:sz w:val="17"/>
              </w:rPr>
              <w:t>37 / 167 / 151</w:t>
            </w:r>
          </w:p>
        </w:tc>
        <w:tc>
          <w:tcPr>
            <w:tcW w:type="dxa" w:w="1162"/>
          </w:tcPr>
          <w:p>
            <w:pPr>
              <w:spacing w:after="20" w:line="264" w:lineRule="auto"/>
              <w:jc w:val="center"/>
            </w:pPr>
            <w:r/>
            <w:r>
              <w:rPr>
                <w:sz w:val="17"/>
              </w:rPr>
              <w:t>90,4%</w:t>
              <w:br/>
              <w:t>[86,2%; 94,6%]</w:t>
            </w:r>
          </w:p>
        </w:tc>
        <w:tc>
          <w:tcPr>
            <w:tcW w:type="dxa" w:w="1162"/>
          </w:tcPr>
          <w:p>
            <w:pPr>
              <w:spacing w:after="20" w:line="264" w:lineRule="auto"/>
              <w:jc w:val="center"/>
            </w:pPr>
            <w:r/>
            <w:r>
              <w:rPr>
                <w:sz w:val="17"/>
              </w:rPr>
              <w:t>37,1%</w:t>
              <w:br/>
              <w:t>[29,1%; 45,0%]</w:t>
            </w:r>
          </w:p>
        </w:tc>
        <w:tc>
          <w:tcPr>
            <w:tcW w:type="dxa" w:w="1162"/>
          </w:tcPr>
          <w:p>
            <w:pPr>
              <w:spacing w:after="20" w:line="264" w:lineRule="auto"/>
              <w:jc w:val="center"/>
            </w:pPr>
            <w:r/>
            <w:r>
              <w:rPr>
                <w:sz w:val="17"/>
              </w:rPr>
              <w:t>33,4%</w:t>
              <w:br/>
              <w:t>[25,9%; 42,0%]</w:t>
            </w:r>
          </w:p>
        </w:tc>
        <w:tc>
          <w:tcPr>
            <w:tcW w:type="dxa" w:w="935"/>
          </w:tcPr>
          <w:p>
            <w:pPr>
              <w:spacing w:after="20" w:line="264" w:lineRule="auto"/>
              <w:jc w:val="center"/>
            </w:pPr>
            <w:r/>
            <w:r>
              <w:rPr>
                <w:sz w:val="17"/>
              </w:rPr>
              <w:t>94,6%</w:t>
            </w:r>
          </w:p>
        </w:tc>
        <w:tc>
          <w:tcPr>
            <w:tcW w:type="dxa" w:w="935"/>
          </w:tcPr>
          <w:p>
            <w:pPr>
              <w:spacing w:after="20" w:line="264" w:lineRule="auto"/>
              <w:jc w:val="center"/>
            </w:pPr>
            <w:r/>
            <w:r>
              <w:rPr>
                <w:sz w:val="17"/>
              </w:rPr>
              <w:t>57,0%</w:t>
            </w:r>
          </w:p>
        </w:tc>
        <w:tc>
          <w:tcPr>
            <w:tcW w:type="dxa" w:w="935"/>
          </w:tcPr>
          <w:p>
            <w:pPr>
              <w:spacing w:after="20" w:line="264" w:lineRule="auto"/>
              <w:jc w:val="center"/>
            </w:pPr>
            <w:r/>
            <w:r>
              <w:rPr>
                <w:sz w:val="17"/>
              </w:rPr>
              <w:t>62,9%</w:t>
            </w:r>
          </w:p>
        </w:tc>
      </w:tr>
      <w:tr>
        <w:trPr>
          <w:cantSplit w:val="true"/>
        </w:trPr>
        <w:tc>
          <w:tcPr>
            <w:tcW w:type="dxa" w:w="992"/>
            <w:shd w:val="clear" w:color="auto" w:fill="F0F5FC"/>
          </w:tcPr>
          <w:p>
            <w:pPr>
              <w:spacing w:after="20" w:line="264" w:lineRule="auto"/>
              <w:jc w:val="left"/>
            </w:pPr>
            <w:r>
              <w:rPr>
                <w:b/>
              </w:rPr>
            </w:r>
          </w:p>
        </w:tc>
        <w:tc>
          <w:tcPr>
            <w:tcW w:type="dxa" w:w="765"/>
            <w:shd w:val="clear" w:color="auto" w:fill="F0F5FC"/>
          </w:tcPr>
          <w:p>
            <w:pPr>
              <w:spacing w:after="20" w:line="264" w:lineRule="auto"/>
              <w:jc w:val="left"/>
            </w:pPr>
            <w:r/>
            <w:r>
              <w:rPr>
                <w:sz w:val="17"/>
              </w:rPr>
              <w:t>KG30</w:t>
            </w:r>
          </w:p>
        </w:tc>
        <w:tc>
          <w:tcPr>
            <w:tcW w:type="dxa" w:w="1020"/>
            <w:shd w:val="clear" w:color="auto" w:fill="F0F5FC"/>
          </w:tcPr>
          <w:p>
            <w:pPr>
              <w:spacing w:after="20" w:line="264" w:lineRule="auto"/>
              <w:jc w:val="center"/>
            </w:pPr>
            <w:r/>
            <w:r>
              <w:rPr>
                <w:sz w:val="17"/>
              </w:rPr>
              <w:t>37 / 167 / 151</w:t>
            </w:r>
          </w:p>
        </w:tc>
        <w:tc>
          <w:tcPr>
            <w:tcW w:type="dxa" w:w="1162"/>
            <w:shd w:val="clear" w:color="auto" w:fill="F0F5FC"/>
          </w:tcPr>
          <w:p>
            <w:pPr>
              <w:spacing w:after="20" w:line="264" w:lineRule="auto"/>
              <w:jc w:val="center"/>
            </w:pPr>
            <w:r/>
            <w:r>
              <w:rPr>
                <w:sz w:val="17"/>
              </w:rPr>
              <w:t>91,6%</w:t>
              <w:br/>
              <w:t>[87,4%; 95,8%]</w:t>
            </w:r>
          </w:p>
        </w:tc>
        <w:tc>
          <w:tcPr>
            <w:tcW w:type="dxa" w:w="1162"/>
            <w:shd w:val="clear" w:color="auto" w:fill="F0F5FC"/>
          </w:tcPr>
          <w:p>
            <w:pPr>
              <w:spacing w:after="20" w:line="264" w:lineRule="auto"/>
              <w:jc w:val="center"/>
            </w:pPr>
            <w:r/>
            <w:r>
              <w:rPr>
                <w:sz w:val="17"/>
              </w:rPr>
              <w:t>41,1%</w:t>
              <w:br/>
              <w:t>[33,1%; 49,0%]</w:t>
            </w:r>
          </w:p>
        </w:tc>
        <w:tc>
          <w:tcPr>
            <w:tcW w:type="dxa" w:w="1162"/>
            <w:shd w:val="clear" w:color="auto" w:fill="F0F5FC"/>
          </w:tcPr>
          <w:p>
            <w:pPr>
              <w:spacing w:after="20" w:line="264" w:lineRule="auto"/>
              <w:jc w:val="center"/>
            </w:pPr>
            <w:r/>
            <w:r>
              <w:rPr>
                <w:sz w:val="17"/>
              </w:rPr>
              <w:t>37,0%</w:t>
              <w:br/>
              <w:t>[29,1%; 45,9%]</w:t>
            </w:r>
          </w:p>
        </w:tc>
        <w:tc>
          <w:tcPr>
            <w:tcW w:type="dxa" w:w="935"/>
            <w:shd w:val="clear" w:color="auto" w:fill="F0F5FC"/>
          </w:tcPr>
          <w:p>
            <w:pPr>
              <w:spacing w:after="20" w:line="264" w:lineRule="auto"/>
              <w:jc w:val="center"/>
            </w:pPr>
            <w:r/>
            <w:r>
              <w:rPr>
                <w:sz w:val="17"/>
              </w:rPr>
              <w:t>95,2%</w:t>
            </w:r>
          </w:p>
        </w:tc>
        <w:tc>
          <w:tcPr>
            <w:tcW w:type="dxa" w:w="935"/>
            <w:shd w:val="clear" w:color="auto" w:fill="F0F5FC"/>
          </w:tcPr>
          <w:p>
            <w:pPr>
              <w:spacing w:after="20" w:line="264" w:lineRule="auto"/>
              <w:jc w:val="center"/>
            </w:pPr>
            <w:r/>
            <w:r>
              <w:rPr>
                <w:sz w:val="17"/>
              </w:rPr>
              <w:t>60,9%</w:t>
            </w:r>
          </w:p>
        </w:tc>
        <w:tc>
          <w:tcPr>
            <w:tcW w:type="dxa" w:w="935"/>
            <w:shd w:val="clear" w:color="auto" w:fill="F0F5FC"/>
          </w:tcPr>
          <w:p>
            <w:pPr>
              <w:spacing w:after="20" w:line="264" w:lineRule="auto"/>
              <w:jc w:val="center"/>
            </w:pPr>
            <w:r/>
            <w:r>
              <w:rPr>
                <w:sz w:val="17"/>
              </w:rPr>
              <w:t>66,2%</w:t>
            </w:r>
          </w:p>
        </w:tc>
      </w:tr>
      <w:tr>
        <w:trPr>
          <w:cantSplit w:val="true"/>
        </w:trPr>
        <w:tc>
          <w:tcPr>
            <w:tcW w:type="dxa" w:w="992"/>
          </w:tcPr>
          <w:p>
            <w:pPr>
              <w:spacing w:after="20" w:line="264" w:lineRule="auto"/>
              <w:jc w:val="left"/>
            </w:pPr>
            <w:r>
              <w:rPr>
                <w:b/>
              </w:rPr>
            </w:r>
            <w:r>
              <w:rPr>
                <w:b/>
                <w:sz w:val="17"/>
              </w:rPr>
              <w:t>Toàn bộ 62 câu</w:t>
            </w:r>
          </w:p>
        </w:tc>
        <w:tc>
          <w:tcPr>
            <w:tcW w:type="dxa" w:w="765"/>
          </w:tcPr>
          <w:p>
            <w:pPr>
              <w:spacing w:after="20" w:line="264" w:lineRule="auto"/>
              <w:jc w:val="left"/>
            </w:pPr>
            <w:r/>
            <w:r>
              <w:rPr>
                <w:sz w:val="17"/>
              </w:rPr>
              <w:t>KG10</w:t>
            </w:r>
          </w:p>
        </w:tc>
        <w:tc>
          <w:tcPr>
            <w:tcW w:type="dxa" w:w="1020"/>
          </w:tcPr>
          <w:p>
            <w:pPr>
              <w:spacing w:after="20" w:line="264" w:lineRule="auto"/>
              <w:jc w:val="center"/>
            </w:pPr>
            <w:r/>
            <w:r>
              <w:rPr>
                <w:sz w:val="17"/>
              </w:rPr>
              <w:t>62 / 262 / 250</w:t>
            </w:r>
          </w:p>
        </w:tc>
        <w:tc>
          <w:tcPr>
            <w:tcW w:type="dxa" w:w="1162"/>
          </w:tcPr>
          <w:p>
            <w:pPr>
              <w:spacing w:after="20" w:line="264" w:lineRule="auto"/>
              <w:jc w:val="center"/>
            </w:pPr>
            <w:r/>
            <w:r>
              <w:rPr>
                <w:sz w:val="17"/>
              </w:rPr>
              <w:t>64,1%</w:t>
              <w:br/>
              <w:t>[58,0%; 69,8%]</w:t>
            </w:r>
          </w:p>
        </w:tc>
        <w:tc>
          <w:tcPr>
            <w:tcW w:type="dxa" w:w="1162"/>
          </w:tcPr>
          <w:p>
            <w:pPr>
              <w:spacing w:after="20" w:line="264" w:lineRule="auto"/>
              <w:jc w:val="center"/>
            </w:pPr>
            <w:r/>
            <w:r>
              <w:rPr>
                <w:sz w:val="17"/>
              </w:rPr>
              <w:t>20,4%</w:t>
              <w:br/>
              <w:t>[15,6%; 25,6%]</w:t>
            </w:r>
          </w:p>
        </w:tc>
        <w:tc>
          <w:tcPr>
            <w:tcW w:type="dxa" w:w="1162"/>
          </w:tcPr>
          <w:p>
            <w:pPr>
              <w:spacing w:after="20" w:line="264" w:lineRule="auto"/>
              <w:jc w:val="center"/>
            </w:pPr>
            <w:r/>
            <w:r>
              <w:rPr>
                <w:sz w:val="17"/>
              </w:rPr>
              <w:t>18,4%</w:t>
              <w:br/>
              <w:t>[13,7%; 23,6%]</w:t>
            </w:r>
          </w:p>
        </w:tc>
        <w:tc>
          <w:tcPr>
            <w:tcW w:type="dxa" w:w="935"/>
          </w:tcPr>
          <w:p>
            <w:pPr>
              <w:spacing w:after="20" w:line="264" w:lineRule="auto"/>
              <w:jc w:val="center"/>
            </w:pPr>
            <w:r/>
            <w:r>
              <w:rPr>
                <w:sz w:val="17"/>
              </w:rPr>
              <w:t>71,0%</w:t>
            </w:r>
          </w:p>
        </w:tc>
        <w:tc>
          <w:tcPr>
            <w:tcW w:type="dxa" w:w="935"/>
          </w:tcPr>
          <w:p>
            <w:pPr>
              <w:spacing w:after="20" w:line="264" w:lineRule="auto"/>
              <w:jc w:val="center"/>
            </w:pPr>
            <w:r/>
            <w:r>
              <w:rPr>
                <w:sz w:val="17"/>
              </w:rPr>
              <w:t>28,8%</w:t>
            </w:r>
          </w:p>
        </w:tc>
        <w:tc>
          <w:tcPr>
            <w:tcW w:type="dxa" w:w="935"/>
          </w:tcPr>
          <w:p>
            <w:pPr>
              <w:spacing w:after="20" w:line="264" w:lineRule="auto"/>
              <w:jc w:val="center"/>
            </w:pPr>
            <w:r/>
            <w:r>
              <w:rPr>
                <w:sz w:val="17"/>
              </w:rPr>
              <w:t>34,4%</w:t>
            </w:r>
          </w:p>
        </w:tc>
      </w:tr>
      <w:tr>
        <w:trPr>
          <w:cantSplit w:val="true"/>
        </w:trPr>
        <w:tc>
          <w:tcPr>
            <w:tcW w:type="dxa" w:w="992"/>
            <w:shd w:val="clear" w:color="auto" w:fill="F0F5FC"/>
          </w:tcPr>
          <w:p>
            <w:pPr>
              <w:spacing w:after="20" w:line="264" w:lineRule="auto"/>
              <w:jc w:val="left"/>
            </w:pPr>
            <w:r>
              <w:rPr>
                <w:b/>
              </w:rPr>
            </w:r>
          </w:p>
        </w:tc>
        <w:tc>
          <w:tcPr>
            <w:tcW w:type="dxa" w:w="765"/>
            <w:shd w:val="clear" w:color="auto" w:fill="F0F5FC"/>
          </w:tcPr>
          <w:p>
            <w:pPr>
              <w:spacing w:after="20" w:line="264" w:lineRule="auto"/>
              <w:jc w:val="left"/>
            </w:pPr>
            <w:r/>
            <w:r>
              <w:rPr>
                <w:sz w:val="17"/>
              </w:rPr>
              <w:t>KG20</w:t>
            </w:r>
          </w:p>
        </w:tc>
        <w:tc>
          <w:tcPr>
            <w:tcW w:type="dxa" w:w="1020"/>
            <w:shd w:val="clear" w:color="auto" w:fill="F0F5FC"/>
          </w:tcPr>
          <w:p>
            <w:pPr>
              <w:spacing w:after="20" w:line="264" w:lineRule="auto"/>
              <w:jc w:val="center"/>
            </w:pPr>
            <w:r/>
            <w:r>
              <w:rPr>
                <w:sz w:val="17"/>
              </w:rPr>
              <w:t>62 / 262 / 250</w:t>
            </w:r>
          </w:p>
        </w:tc>
        <w:tc>
          <w:tcPr>
            <w:tcW w:type="dxa" w:w="1162"/>
            <w:shd w:val="clear" w:color="auto" w:fill="F0F5FC"/>
          </w:tcPr>
          <w:p>
            <w:pPr>
              <w:spacing w:after="20" w:line="264" w:lineRule="auto"/>
              <w:jc w:val="center"/>
            </w:pPr>
            <w:r/>
            <w:r>
              <w:rPr>
                <w:sz w:val="17"/>
              </w:rPr>
              <w:t>77,5%</w:t>
              <w:br/>
              <w:t>[72,1%; 82,4%]</w:t>
            </w:r>
          </w:p>
        </w:tc>
        <w:tc>
          <w:tcPr>
            <w:tcW w:type="dxa" w:w="1162"/>
            <w:shd w:val="clear" w:color="auto" w:fill="F0F5FC"/>
          </w:tcPr>
          <w:p>
            <w:pPr>
              <w:spacing w:after="20" w:line="264" w:lineRule="auto"/>
              <w:jc w:val="center"/>
            </w:pPr>
            <w:r/>
            <w:r>
              <w:rPr>
                <w:sz w:val="17"/>
              </w:rPr>
              <w:t>30,8%</w:t>
              <w:br/>
              <w:t>[25,2%; 36,4%]</w:t>
            </w:r>
          </w:p>
        </w:tc>
        <w:tc>
          <w:tcPr>
            <w:tcW w:type="dxa" w:w="1162"/>
            <w:shd w:val="clear" w:color="auto" w:fill="F0F5FC"/>
          </w:tcPr>
          <w:p>
            <w:pPr>
              <w:spacing w:after="20" w:line="264" w:lineRule="auto"/>
              <w:jc w:val="center"/>
            </w:pPr>
            <w:r/>
            <w:r>
              <w:rPr>
                <w:sz w:val="17"/>
              </w:rPr>
              <w:t>27,7%</w:t>
              <w:br/>
              <w:t>[22,1%; 33,5%]</w:t>
            </w:r>
          </w:p>
        </w:tc>
        <w:tc>
          <w:tcPr>
            <w:tcW w:type="dxa" w:w="935"/>
            <w:shd w:val="clear" w:color="auto" w:fill="F0F5FC"/>
          </w:tcPr>
          <w:p>
            <w:pPr>
              <w:spacing w:after="20" w:line="264" w:lineRule="auto"/>
              <w:jc w:val="center"/>
            </w:pPr>
            <w:r/>
            <w:r>
              <w:rPr>
                <w:sz w:val="17"/>
              </w:rPr>
              <w:t>82,4%</w:t>
            </w:r>
          </w:p>
        </w:tc>
        <w:tc>
          <w:tcPr>
            <w:tcW w:type="dxa" w:w="935"/>
            <w:shd w:val="clear" w:color="auto" w:fill="F0F5FC"/>
          </w:tcPr>
          <w:p>
            <w:pPr>
              <w:spacing w:after="20" w:line="264" w:lineRule="auto"/>
              <w:jc w:val="center"/>
            </w:pPr>
            <w:r/>
            <w:r>
              <w:rPr>
                <w:sz w:val="17"/>
              </w:rPr>
              <w:t>44,0%</w:t>
            </w:r>
          </w:p>
        </w:tc>
        <w:tc>
          <w:tcPr>
            <w:tcW w:type="dxa" w:w="935"/>
            <w:shd w:val="clear" w:color="auto" w:fill="F0F5FC"/>
          </w:tcPr>
          <w:p>
            <w:pPr>
              <w:spacing w:after="20" w:line="264" w:lineRule="auto"/>
              <w:jc w:val="center"/>
            </w:pPr>
            <w:r/>
            <w:r>
              <w:rPr>
                <w:sz w:val="17"/>
              </w:rPr>
              <w:t>50,8%</w:t>
            </w:r>
          </w:p>
        </w:tc>
      </w:tr>
      <w:tr>
        <w:trPr>
          <w:cantSplit w:val="true"/>
        </w:trPr>
        <w:tc>
          <w:tcPr>
            <w:tcW w:type="dxa" w:w="992"/>
          </w:tcPr>
          <w:p>
            <w:pPr>
              <w:spacing w:after="20" w:line="264" w:lineRule="auto"/>
              <w:jc w:val="left"/>
            </w:pPr>
            <w:r>
              <w:rPr>
                <w:b/>
              </w:rPr>
            </w:r>
          </w:p>
        </w:tc>
        <w:tc>
          <w:tcPr>
            <w:tcW w:type="dxa" w:w="765"/>
          </w:tcPr>
          <w:p>
            <w:pPr>
              <w:spacing w:after="20" w:line="264" w:lineRule="auto"/>
              <w:jc w:val="left"/>
            </w:pPr>
            <w:r/>
            <w:r>
              <w:rPr>
                <w:sz w:val="17"/>
              </w:rPr>
              <w:t>KG30</w:t>
            </w:r>
          </w:p>
        </w:tc>
        <w:tc>
          <w:tcPr>
            <w:tcW w:type="dxa" w:w="1020"/>
          </w:tcPr>
          <w:p>
            <w:pPr>
              <w:spacing w:after="20" w:line="264" w:lineRule="auto"/>
              <w:jc w:val="center"/>
            </w:pPr>
            <w:r/>
            <w:r>
              <w:rPr>
                <w:sz w:val="17"/>
              </w:rPr>
              <w:t>62 / 262 / 250</w:t>
            </w:r>
          </w:p>
        </w:tc>
        <w:tc>
          <w:tcPr>
            <w:tcW w:type="dxa" w:w="1162"/>
          </w:tcPr>
          <w:p>
            <w:pPr>
              <w:spacing w:after="20" w:line="264" w:lineRule="auto"/>
              <w:jc w:val="center"/>
            </w:pPr>
            <w:r/>
            <w:r>
              <w:rPr>
                <w:sz w:val="17"/>
              </w:rPr>
              <w:t>89,3%</w:t>
              <w:br/>
              <w:t>[85,5%; 92,7%]</w:t>
            </w:r>
          </w:p>
        </w:tc>
        <w:tc>
          <w:tcPr>
            <w:tcW w:type="dxa" w:w="1162"/>
          </w:tcPr>
          <w:p>
            <w:pPr>
              <w:spacing w:after="20" w:line="264" w:lineRule="auto"/>
              <w:jc w:val="center"/>
            </w:pPr>
            <w:r/>
            <w:r>
              <w:rPr>
                <w:sz w:val="17"/>
              </w:rPr>
              <w:t>41,6%</w:t>
              <w:br/>
              <w:t>[35,6%; 47,6%]</w:t>
            </w:r>
          </w:p>
        </w:tc>
        <w:tc>
          <w:tcPr>
            <w:tcW w:type="dxa" w:w="1162"/>
          </w:tcPr>
          <w:p>
            <w:pPr>
              <w:spacing w:after="20" w:line="264" w:lineRule="auto"/>
              <w:jc w:val="center"/>
            </w:pPr>
            <w:r/>
            <w:r>
              <w:rPr>
                <w:sz w:val="17"/>
              </w:rPr>
              <w:t>37,4%</w:t>
              <w:br/>
              <w:t>[31,0%; 44,1%]</w:t>
            </w:r>
          </w:p>
        </w:tc>
        <w:tc>
          <w:tcPr>
            <w:tcW w:type="dxa" w:w="935"/>
          </w:tcPr>
          <w:p>
            <w:pPr>
              <w:spacing w:after="20" w:line="264" w:lineRule="auto"/>
              <w:jc w:val="center"/>
            </w:pPr>
            <w:r/>
            <w:r>
              <w:rPr>
                <w:sz w:val="17"/>
              </w:rPr>
              <w:t>92,8%</w:t>
            </w:r>
          </w:p>
        </w:tc>
        <w:tc>
          <w:tcPr>
            <w:tcW w:type="dxa" w:w="935"/>
          </w:tcPr>
          <w:p>
            <w:pPr>
              <w:spacing w:after="20" w:line="264" w:lineRule="auto"/>
              <w:jc w:val="center"/>
            </w:pPr>
            <w:r/>
            <w:r>
              <w:rPr>
                <w:sz w:val="17"/>
              </w:rPr>
              <w:t>56,0%</w:t>
            </w:r>
          </w:p>
        </w:tc>
        <w:tc>
          <w:tcPr>
            <w:tcW w:type="dxa" w:w="935"/>
          </w:tcPr>
          <w:p>
            <w:pPr>
              <w:spacing w:after="20" w:line="264" w:lineRule="auto"/>
              <w:jc w:val="center"/>
            </w:pPr>
            <w:r/>
            <w:r>
              <w:rPr>
                <w:sz w:val="17"/>
              </w:rPr>
              <w:t>65,2%</w:t>
            </w:r>
          </w:p>
        </w:tc>
      </w:tr>
    </w:tbl>
    <w:p>
      <w:pPr>
        <w:spacing w:after="40"/>
      </w:pPr>
    </w:p>
    <w:p>
      <w:r>
        <w:rPr>
          <w:i/>
          <w:sz w:val="20"/>
        </w:rPr>
        <w:t>Relation completeness hiệu chỉnh = relation completeness × 90% (tỉ lệ edge khớp nói đúng gold relation theo audit, mục 4); CI gộp cả sai số của tỉ lệ audit (80%–98%).</w:t>
      </w:r>
    </w:p>
    <w:p>
      <w:pPr>
        <w:keepNext/>
        <w:jc w:val="center"/>
      </w:pPr>
      <w:r>
        <w:drawing>
          <wp:inline xmlns:a="http://schemas.openxmlformats.org/drawingml/2006/main" xmlns:pic="http://schemas.openxmlformats.org/drawingml/2006/picture">
            <wp:extent cx="5940000" cy="2174367"/>
            <wp:docPr id="2" name="Picture 2"/>
            <wp:cNvGraphicFramePr>
              <a:graphicFrameLocks noChangeAspect="1"/>
            </wp:cNvGraphicFramePr>
            <a:graphic>
              <a:graphicData uri="http://schemas.openxmlformats.org/drawingml/2006/picture">
                <pic:pic>
                  <pic:nvPicPr>
                    <pic:cNvPr id="0" name="y3_fig2_coverage.png"/>
                    <pic:cNvPicPr/>
                  </pic:nvPicPr>
                  <pic:blipFill>
                    <a:blip r:embed="rId11"/>
                    <a:stretch>
                      <a:fillRect/>
                    </a:stretch>
                  </pic:blipFill>
                  <pic:spPr>
                    <a:xfrm>
                      <a:off x="0" y="0"/>
                      <a:ext cx="5940000" cy="2174367"/>
                    </a:xfrm>
                    <a:prstGeom prst="rect"/>
                  </pic:spPr>
                </pic:pic>
              </a:graphicData>
            </a:graphic>
          </wp:inline>
        </w:drawing>
      </w:r>
    </w:p>
    <w:p>
      <w:pPr>
        <w:pStyle w:val="Caption"/>
        <w:jc w:val="center"/>
      </w:pPr>
      <w:r>
        <w:t>Hình 2. Entity coverage (a) và relation completeness (b) theo k</w:t>
      </w:r>
    </w:p>
    <w:p>
      <w:pPr>
        <w:ind w:firstLine="567"/>
      </w:pPr>
      <w:r>
        <w:rPr>
          <w:b/>
        </w:rPr>
        <w:t>In-scope, entity coverage chênh nhau ít giữa các k, CI chồng nhau</w:t>
      </w:r>
      <w:r>
        <w:t xml:space="preserve"> (91%, 90%, 89% với k = 10, 20, 30): với câu hỏi về các bài đã có trong KG, KG10 đã chứa phần lớn entity cần thiết như KG30. Khoảng 10% gold entity còn thiếu là cụm từ nhiều chữ mà KG ghi dưới dạng dài hơn ("higher-order masking", "5G network slicing") hoặc không được trích thành entity ("handshake overhead", "graceful degradation", "Cryptographic Time Paradox"); bản lenient đạt khoảng 93%.</w:t>
      </w:r>
    </w:p>
    <w:p>
      <w:pPr>
        <w:ind w:firstLine="567"/>
      </w:pPr>
      <w:r>
        <w:rPr>
          <w:b/>
        </w:rPr>
        <w:t>Relation completeness thấp hơn nhiều</w:t>
      </w:r>
      <w:r>
        <w:t xml:space="preserve"> (39%, 37%, 42%; sau hiệu chỉnh theo audit 35%, 33%, 37%, KG30: 37,4% [31,0%; 44,1%]): dù cả hai đầu của relation có trong KG ở khoảng 84% gold relation, chỉ chưa tới một nửa có edge nối trực tiếp. Mô hình 7B trích tối đa 12 relation mỗi chunk và chỉ giữ relation được nêu trong cùng đoạn, nên relation mà ground truth tổng hợp từ nhiều câu, nhiều đoạn thường bị thiếu. Đây là giới hạn của bước trích xuất, không phải của số bài.</w:t>
      </w:r>
    </w:p>
    <w:p>
      <w:pPr>
        <w:ind w:firstLine="567"/>
      </w:pPr>
      <w:r>
        <w:rPr>
          <w:b/>
        </w:rPr>
        <w:t>Trên fixed set S10, thêm bài làm KG đầy đủ hơn một chút:</w:t>
      </w:r>
      <w:r>
        <w:t xml:space="preserve"> entity coverage 91% → 93%, relation completeness 39% → 44% (nối trong ≤ 2 bước 56% → 69%), vì các bài 11–30 nhắc lại một số entity và relation của 10 bài đầu. Mức tăng nhỏ và các CI chồng nhau.</w:t>
      </w:r>
    </w:p>
    <w:p>
      <w:pPr>
        <w:ind w:firstLine="567"/>
      </w:pPr>
      <w:r>
        <w:rPr>
          <w:b/>
        </w:rPr>
        <w:t>Trên toàn bộ 62 câu, coverage tăng theo k</w:t>
      </w:r>
      <w:r>
        <w:t xml:space="preserve"> (entity coverage 64% → 77% → 89%; relation completeness 20% → 31% → 42%). KG10 vẫn có 64% entity chuẩn của cả chủ đề vì các khái niệm trung tâm (Shor, QKD, Kyber, qubit...) đã xuất hiện trong 10 bài đầu, nhưng thiếu phần lớn relation và gần như mọi passage nguồn của câu hỏi về bài khác: tỉ lệ câu có gold chunk nằm trong KG là 36% / 67% / 97% với KG10 / KG20 / KG30.</w:t>
      </w:r>
    </w:p>
    <w:p>
      <w:pPr>
        <w:pStyle w:val="Heading1"/>
      </w:pPr>
      <w:r>
        <w:t>6. KẾT QUẢ: CHẤT LƯỢNG CÂU TRẢ LỜI</w:t>
      </w:r>
    </w:p>
    <w:p>
      <w:pPr>
        <w:pStyle w:val="Heading2"/>
      </w:pPr>
      <w:r>
        <w:t>6.1. Năm chỉ số theo k</w:t>
      </w:r>
    </w:p>
    <w:p>
      <w:pPr>
        <w:pStyle w:val="Caption"/>
        <w:keepNext/>
        <w:jc w:val="center"/>
      </w:pPr>
      <w:r>
        <w:t>Bảng 7. Năm chỉ số chính của GraphRAG theo KG: giá trị trung bình [CI 95%]</w:t>
      </w:r>
    </w:p>
    <w:tbl>
      <w:tblPr>
        <w:tblStyle w:val="TableGrid"/>
        <w:tblW w:type="auto" w:w="0"/>
        <w:jc w:val="center"/>
        <w:tblLayout w:type="fixed"/>
        <w:tblLook w:firstColumn="1" w:firstRow="1" w:lastColumn="0" w:lastRow="0" w:noHBand="0" w:noVBand="1" w:val="04A0"/>
      </w:tblPr>
      <w:tblGrid>
        <w:gridCol w:w="1296"/>
        <w:gridCol w:w="1296"/>
        <w:gridCol w:w="1296"/>
        <w:gridCol w:w="1296"/>
        <w:gridCol w:w="1296"/>
        <w:gridCol w:w="1296"/>
        <w:gridCol w:w="1296"/>
      </w:tblGrid>
      <w:tr>
        <w:trPr>
          <w:tblHeader w:val="true"/>
          <w:cantSplit w:val="true"/>
        </w:trPr>
        <w:tc>
          <w:tcPr>
            <w:tcW w:type="dxa" w:w="1191"/>
            <w:shd w:val="clear" w:color="auto" w:fill="1C5CAB"/>
          </w:tcPr>
          <w:p>
            <w:pPr>
              <w:spacing w:after="20" w:line="264" w:lineRule="auto"/>
              <w:jc w:val="center"/>
            </w:pPr>
            <w:r/>
            <w:r>
              <w:rPr>
                <w:b/>
                <w:color w:val="FFFFFF"/>
                <w:sz w:val="18"/>
              </w:rPr>
              <w:t>Tập câu hỏi</w:t>
            </w:r>
          </w:p>
        </w:tc>
        <w:tc>
          <w:tcPr>
            <w:tcW w:type="dxa" w:w="1191"/>
            <w:shd w:val="clear" w:color="auto" w:fill="1C5CAB"/>
          </w:tcPr>
          <w:p>
            <w:pPr>
              <w:spacing w:after="20" w:line="264" w:lineRule="auto"/>
              <w:jc w:val="center"/>
            </w:pPr>
            <w:r/>
            <w:r>
              <w:rPr>
                <w:b/>
                <w:color w:val="FFFFFF"/>
                <w:sz w:val="18"/>
              </w:rPr>
              <w:t>KG</w:t>
            </w:r>
          </w:p>
        </w:tc>
        <w:tc>
          <w:tcPr>
            <w:tcW w:type="dxa" w:w="1332"/>
            <w:shd w:val="clear" w:color="auto" w:fill="1C5CAB"/>
          </w:tcPr>
          <w:p>
            <w:pPr>
              <w:spacing w:after="20" w:line="264" w:lineRule="auto"/>
              <w:jc w:val="center"/>
            </w:pPr>
            <w:r/>
            <w:r>
              <w:rPr>
                <w:b/>
                <w:color w:val="FFFFFF"/>
                <w:sz w:val="18"/>
              </w:rPr>
              <w:t>Retrieval precision ↑</w:t>
            </w:r>
          </w:p>
        </w:tc>
        <w:tc>
          <w:tcPr>
            <w:tcW w:type="dxa" w:w="1332"/>
            <w:shd w:val="clear" w:color="auto" w:fill="1C5CAB"/>
          </w:tcPr>
          <w:p>
            <w:pPr>
              <w:spacing w:after="20" w:line="264" w:lineRule="auto"/>
              <w:jc w:val="center"/>
            </w:pPr>
            <w:r/>
            <w:r>
              <w:rPr>
                <w:b/>
                <w:color w:val="FFFFFF"/>
                <w:sz w:val="18"/>
              </w:rPr>
              <w:t>Faithfulness ↑</w:t>
            </w:r>
          </w:p>
        </w:tc>
        <w:tc>
          <w:tcPr>
            <w:tcW w:type="dxa" w:w="1332"/>
            <w:shd w:val="clear" w:color="auto" w:fill="1C5CAB"/>
          </w:tcPr>
          <w:p>
            <w:pPr>
              <w:spacing w:after="20" w:line="264" w:lineRule="auto"/>
              <w:jc w:val="center"/>
            </w:pPr>
            <w:r/>
            <w:r>
              <w:rPr>
                <w:b/>
                <w:color w:val="FFFFFF"/>
                <w:sz w:val="18"/>
              </w:rPr>
              <w:t>Answer relevancy ↑</w:t>
            </w:r>
          </w:p>
        </w:tc>
        <w:tc>
          <w:tcPr>
            <w:tcW w:type="dxa" w:w="1332"/>
            <w:shd w:val="clear" w:color="auto" w:fill="1C5CAB"/>
          </w:tcPr>
          <w:p>
            <w:pPr>
              <w:spacing w:after="20" w:line="264" w:lineRule="auto"/>
              <w:jc w:val="center"/>
            </w:pPr>
            <w:r/>
            <w:r>
              <w:rPr>
                <w:b/>
                <w:color w:val="FFFFFF"/>
                <w:sz w:val="18"/>
              </w:rPr>
              <w:t>Hallucination rate ↓</w:t>
            </w:r>
          </w:p>
        </w:tc>
        <w:tc>
          <w:tcPr>
            <w:tcW w:type="dxa" w:w="1361"/>
            <w:shd w:val="clear" w:color="auto" w:fill="1C5CAB"/>
          </w:tcPr>
          <w:p>
            <w:pPr>
              <w:spacing w:after="20" w:line="264" w:lineRule="auto"/>
              <w:jc w:val="center"/>
            </w:pPr>
            <w:r/>
            <w:r>
              <w:rPr>
                <w:b/>
                <w:color w:val="FFFFFF"/>
                <w:sz w:val="18"/>
              </w:rPr>
              <w:t>Answer correctness ↑</w:t>
            </w:r>
          </w:p>
        </w:tc>
      </w:tr>
      <w:tr>
        <w:trPr>
          <w:cantSplit w:val="true"/>
        </w:trPr>
        <w:tc>
          <w:tcPr>
            <w:tcW w:type="dxa" w:w="1191"/>
          </w:tcPr>
          <w:p>
            <w:pPr>
              <w:spacing w:after="20" w:line="264" w:lineRule="auto"/>
              <w:jc w:val="left"/>
            </w:pPr>
            <w:r>
              <w:rPr>
                <w:b/>
              </w:rPr>
            </w:r>
            <w:r>
              <w:rPr>
                <w:b/>
                <w:sz w:val="18"/>
              </w:rPr>
              <w:t>In-scope</w:t>
            </w:r>
          </w:p>
        </w:tc>
        <w:tc>
          <w:tcPr>
            <w:tcW w:type="dxa" w:w="1191"/>
          </w:tcPr>
          <w:p>
            <w:pPr>
              <w:spacing w:after="20" w:line="264" w:lineRule="auto"/>
              <w:jc w:val="left"/>
            </w:pPr>
            <w:r/>
            <w:r>
              <w:rPr>
                <w:sz w:val="18"/>
              </w:rPr>
              <w:t>KG10 (n = 15)</w:t>
            </w:r>
          </w:p>
        </w:tc>
        <w:tc>
          <w:tcPr>
            <w:tcW w:type="dxa" w:w="1332"/>
          </w:tcPr>
          <w:p>
            <w:pPr>
              <w:spacing w:after="20" w:line="264" w:lineRule="auto"/>
              <w:jc w:val="center"/>
            </w:pPr>
            <w:r/>
            <w:r>
              <w:rPr>
                <w:sz w:val="18"/>
              </w:rPr>
              <w:t>0,450</w:t>
              <w:br/>
              <w:t>[0,333; 0,567]</w:t>
            </w:r>
          </w:p>
        </w:tc>
        <w:tc>
          <w:tcPr>
            <w:tcW w:type="dxa" w:w="1332"/>
          </w:tcPr>
          <w:p>
            <w:pPr>
              <w:spacing w:after="20" w:line="264" w:lineRule="auto"/>
              <w:jc w:val="center"/>
            </w:pPr>
            <w:r/>
            <w:r>
              <w:rPr>
                <w:sz w:val="18"/>
              </w:rPr>
              <w:t>0,783</w:t>
              <w:br/>
              <w:t>[0,638; 0,914]</w:t>
              <w:br/>
              <w:t>(n = 14)</w:t>
            </w:r>
          </w:p>
        </w:tc>
        <w:tc>
          <w:tcPr>
            <w:tcW w:type="dxa" w:w="1332"/>
          </w:tcPr>
          <w:p>
            <w:pPr>
              <w:spacing w:after="20" w:line="264" w:lineRule="auto"/>
              <w:jc w:val="center"/>
            </w:pPr>
            <w:r/>
            <w:r>
              <w:rPr>
                <w:sz w:val="18"/>
              </w:rPr>
              <w:t>0,758</w:t>
              <w:br/>
              <w:t>[0,640; 0,833]</w:t>
            </w:r>
          </w:p>
        </w:tc>
        <w:tc>
          <w:tcPr>
            <w:tcW w:type="dxa" w:w="1332"/>
          </w:tcPr>
          <w:p>
            <w:pPr>
              <w:spacing w:after="20" w:line="264" w:lineRule="auto"/>
              <w:jc w:val="center"/>
            </w:pPr>
            <w:r/>
            <w:r>
              <w:rPr>
                <w:sz w:val="18"/>
              </w:rPr>
              <w:t>46,7%</w:t>
              <w:br/>
              <w:t>[20,0%; 73,3%]</w:t>
            </w:r>
          </w:p>
        </w:tc>
        <w:tc>
          <w:tcPr>
            <w:tcW w:type="dxa" w:w="1361"/>
          </w:tcPr>
          <w:p>
            <w:pPr>
              <w:spacing w:after="20" w:line="264" w:lineRule="auto"/>
              <w:jc w:val="center"/>
            </w:pPr>
            <w:r/>
            <w:r>
              <w:rPr>
                <w:sz w:val="18"/>
              </w:rPr>
              <w:t>86,7%</w:t>
              <w:br/>
              <w:t>[66,7%; 100,0%]</w:t>
            </w:r>
          </w:p>
        </w:tc>
      </w:tr>
      <w:tr>
        <w:trPr>
          <w:cantSplit w:val="true"/>
        </w:trPr>
        <w:tc>
          <w:tcPr>
            <w:tcW w:type="dxa" w:w="1191"/>
            <w:shd w:val="clear" w:color="auto" w:fill="F0F5FC"/>
          </w:tcPr>
          <w:p>
            <w:pPr>
              <w:spacing w:after="20" w:line="264" w:lineRule="auto"/>
              <w:jc w:val="left"/>
            </w:pPr>
            <w:r>
              <w:rPr>
                <w:b/>
              </w:rPr>
            </w:r>
          </w:p>
        </w:tc>
        <w:tc>
          <w:tcPr>
            <w:tcW w:type="dxa" w:w="1191"/>
            <w:shd w:val="clear" w:color="auto" w:fill="F0F5FC"/>
          </w:tcPr>
          <w:p>
            <w:pPr>
              <w:spacing w:after="20" w:line="264" w:lineRule="auto"/>
              <w:jc w:val="left"/>
            </w:pPr>
            <w:r/>
            <w:r>
              <w:rPr>
                <w:sz w:val="18"/>
              </w:rPr>
              <w:t>KG20 (n = 37)</w:t>
            </w:r>
          </w:p>
        </w:tc>
        <w:tc>
          <w:tcPr>
            <w:tcW w:type="dxa" w:w="1332"/>
            <w:shd w:val="clear" w:color="auto" w:fill="F0F5FC"/>
          </w:tcPr>
          <w:p>
            <w:pPr>
              <w:spacing w:after="20" w:line="264" w:lineRule="auto"/>
              <w:jc w:val="center"/>
            </w:pPr>
            <w:r/>
            <w:r>
              <w:rPr>
                <w:sz w:val="18"/>
              </w:rPr>
              <w:t>0,459</w:t>
              <w:br/>
              <w:t>[0,385; 0,541]</w:t>
            </w:r>
          </w:p>
        </w:tc>
        <w:tc>
          <w:tcPr>
            <w:tcW w:type="dxa" w:w="1332"/>
            <w:shd w:val="clear" w:color="auto" w:fill="F0F5FC"/>
          </w:tcPr>
          <w:p>
            <w:pPr>
              <w:spacing w:after="20" w:line="264" w:lineRule="auto"/>
              <w:jc w:val="center"/>
            </w:pPr>
            <w:r/>
            <w:r>
              <w:rPr>
                <w:sz w:val="18"/>
              </w:rPr>
              <w:t>0,840</w:t>
              <w:br/>
              <w:t>[0,790; 0,891]</w:t>
              <w:br/>
              <w:t>(n = 33)</w:t>
            </w:r>
          </w:p>
        </w:tc>
        <w:tc>
          <w:tcPr>
            <w:tcW w:type="dxa" w:w="1332"/>
            <w:shd w:val="clear" w:color="auto" w:fill="F0F5FC"/>
          </w:tcPr>
          <w:p>
            <w:pPr>
              <w:spacing w:after="20" w:line="264" w:lineRule="auto"/>
              <w:jc w:val="center"/>
            </w:pPr>
            <w:r/>
            <w:r>
              <w:rPr>
                <w:sz w:val="18"/>
              </w:rPr>
              <w:t>0,734</w:t>
              <w:br/>
              <w:t>[0,642; 0,806]</w:t>
            </w:r>
          </w:p>
        </w:tc>
        <w:tc>
          <w:tcPr>
            <w:tcW w:type="dxa" w:w="1332"/>
            <w:shd w:val="clear" w:color="auto" w:fill="F0F5FC"/>
          </w:tcPr>
          <w:p>
            <w:pPr>
              <w:spacing w:after="20" w:line="264" w:lineRule="auto"/>
              <w:jc w:val="center"/>
            </w:pPr>
            <w:r/>
            <w:r>
              <w:rPr>
                <w:sz w:val="18"/>
              </w:rPr>
              <w:t>51,4%</w:t>
              <w:br/>
              <w:t>[35,1%; 67,6%]</w:t>
            </w:r>
          </w:p>
        </w:tc>
        <w:tc>
          <w:tcPr>
            <w:tcW w:type="dxa" w:w="1361"/>
            <w:shd w:val="clear" w:color="auto" w:fill="F0F5FC"/>
          </w:tcPr>
          <w:p>
            <w:pPr>
              <w:spacing w:after="20" w:line="264" w:lineRule="auto"/>
              <w:jc w:val="center"/>
            </w:pPr>
            <w:r/>
            <w:r>
              <w:rPr>
                <w:sz w:val="18"/>
              </w:rPr>
              <w:t>86,5%</w:t>
              <w:br/>
              <w:t>[75,7%; 97,3%]</w:t>
            </w:r>
          </w:p>
        </w:tc>
      </w:tr>
      <w:tr>
        <w:trPr>
          <w:cantSplit w:val="true"/>
        </w:trPr>
        <w:tc>
          <w:tcPr>
            <w:tcW w:type="dxa" w:w="1191"/>
          </w:tcPr>
          <w:p>
            <w:pPr>
              <w:spacing w:after="20" w:line="264" w:lineRule="auto"/>
              <w:jc w:val="left"/>
            </w:pPr>
            <w:r>
              <w:rPr>
                <w:b/>
              </w:rPr>
            </w:r>
          </w:p>
        </w:tc>
        <w:tc>
          <w:tcPr>
            <w:tcW w:type="dxa" w:w="1191"/>
          </w:tcPr>
          <w:p>
            <w:pPr>
              <w:spacing w:after="20" w:line="264" w:lineRule="auto"/>
              <w:jc w:val="left"/>
            </w:pPr>
            <w:r/>
            <w:r>
              <w:rPr>
                <w:sz w:val="18"/>
              </w:rPr>
              <w:t>KG30 (n = 62)</w:t>
            </w:r>
          </w:p>
        </w:tc>
        <w:tc>
          <w:tcPr>
            <w:tcW w:type="dxa" w:w="1332"/>
          </w:tcPr>
          <w:p>
            <w:pPr>
              <w:spacing w:after="20" w:line="264" w:lineRule="auto"/>
              <w:jc w:val="center"/>
            </w:pPr>
            <w:r/>
            <w:r>
              <w:rPr>
                <w:sz w:val="18"/>
              </w:rPr>
              <w:t>0,488</w:t>
              <w:br/>
              <w:t>[0,427; 0,544]</w:t>
            </w:r>
          </w:p>
        </w:tc>
        <w:tc>
          <w:tcPr>
            <w:tcW w:type="dxa" w:w="1332"/>
          </w:tcPr>
          <w:p>
            <w:pPr>
              <w:spacing w:after="20" w:line="264" w:lineRule="auto"/>
              <w:jc w:val="center"/>
            </w:pPr>
            <w:r/>
            <w:r>
              <w:rPr>
                <w:sz w:val="18"/>
              </w:rPr>
              <w:t>0,847</w:t>
              <w:br/>
              <w:t>[0,807; 0,883]</w:t>
              <w:br/>
              <w:t>(n = 56)</w:t>
            </w:r>
          </w:p>
        </w:tc>
        <w:tc>
          <w:tcPr>
            <w:tcW w:type="dxa" w:w="1332"/>
          </w:tcPr>
          <w:p>
            <w:pPr>
              <w:spacing w:after="20" w:line="264" w:lineRule="auto"/>
              <w:jc w:val="center"/>
            </w:pPr>
            <w:r/>
            <w:r>
              <w:rPr>
                <w:sz w:val="18"/>
              </w:rPr>
              <w:t>0,740</w:t>
              <w:br/>
              <w:t>[0,676; 0,797]</w:t>
            </w:r>
          </w:p>
        </w:tc>
        <w:tc>
          <w:tcPr>
            <w:tcW w:type="dxa" w:w="1332"/>
          </w:tcPr>
          <w:p>
            <w:pPr>
              <w:spacing w:after="20" w:line="264" w:lineRule="auto"/>
              <w:jc w:val="center"/>
            </w:pPr>
            <w:r/>
            <w:r>
              <w:rPr>
                <w:sz w:val="18"/>
              </w:rPr>
              <w:t>53,2%</w:t>
              <w:br/>
              <w:t>[40,3%; 66,1%]</w:t>
            </w:r>
          </w:p>
        </w:tc>
        <w:tc>
          <w:tcPr>
            <w:tcW w:type="dxa" w:w="1361"/>
          </w:tcPr>
          <w:p>
            <w:pPr>
              <w:spacing w:after="20" w:line="264" w:lineRule="auto"/>
              <w:jc w:val="center"/>
            </w:pPr>
            <w:r/>
            <w:r>
              <w:rPr>
                <w:sz w:val="18"/>
              </w:rPr>
              <w:t>82,3%</w:t>
              <w:br/>
              <w:t>[72,6%; 90,4%]</w:t>
            </w:r>
          </w:p>
        </w:tc>
      </w:tr>
      <w:tr>
        <w:trPr>
          <w:cantSplit w:val="true"/>
        </w:trPr>
        <w:tc>
          <w:tcPr>
            <w:tcW w:type="dxa" w:w="1191"/>
            <w:shd w:val="clear" w:color="auto" w:fill="F0F5FC"/>
          </w:tcPr>
          <w:p>
            <w:pPr>
              <w:spacing w:after="20" w:line="264" w:lineRule="auto"/>
              <w:jc w:val="left"/>
            </w:pPr>
            <w:r>
              <w:rPr>
                <w:b/>
              </w:rPr>
            </w:r>
            <w:r>
              <w:rPr>
                <w:b/>
                <w:sz w:val="18"/>
              </w:rPr>
              <w:t>S10 (cố định)</w:t>
            </w:r>
          </w:p>
        </w:tc>
        <w:tc>
          <w:tcPr>
            <w:tcW w:type="dxa" w:w="1191"/>
            <w:shd w:val="clear" w:color="auto" w:fill="F0F5FC"/>
          </w:tcPr>
          <w:p>
            <w:pPr>
              <w:spacing w:after="20" w:line="264" w:lineRule="auto"/>
              <w:jc w:val="left"/>
            </w:pPr>
            <w:r/>
            <w:r>
              <w:rPr>
                <w:sz w:val="18"/>
              </w:rPr>
              <w:t>KG10 (n = 15)</w:t>
            </w:r>
          </w:p>
        </w:tc>
        <w:tc>
          <w:tcPr>
            <w:tcW w:type="dxa" w:w="1332"/>
            <w:shd w:val="clear" w:color="auto" w:fill="F0F5FC"/>
          </w:tcPr>
          <w:p>
            <w:pPr>
              <w:spacing w:after="20" w:line="264" w:lineRule="auto"/>
              <w:jc w:val="center"/>
            </w:pPr>
            <w:r/>
            <w:r>
              <w:rPr>
                <w:sz w:val="18"/>
              </w:rPr>
              <w:t>0,450</w:t>
              <w:br/>
              <w:t>[0,333; 0,583]</w:t>
            </w:r>
          </w:p>
        </w:tc>
        <w:tc>
          <w:tcPr>
            <w:tcW w:type="dxa" w:w="1332"/>
            <w:shd w:val="clear" w:color="auto" w:fill="F0F5FC"/>
          </w:tcPr>
          <w:p>
            <w:pPr>
              <w:spacing w:after="20" w:line="264" w:lineRule="auto"/>
              <w:jc w:val="center"/>
            </w:pPr>
            <w:r/>
            <w:r>
              <w:rPr>
                <w:sz w:val="18"/>
              </w:rPr>
              <w:t>0,783</w:t>
              <w:br/>
              <w:t>[0,645; 0,911]</w:t>
              <w:br/>
              <w:t>(n = 14)</w:t>
            </w:r>
          </w:p>
        </w:tc>
        <w:tc>
          <w:tcPr>
            <w:tcW w:type="dxa" w:w="1332"/>
            <w:shd w:val="clear" w:color="auto" w:fill="F0F5FC"/>
          </w:tcPr>
          <w:p>
            <w:pPr>
              <w:spacing w:after="20" w:line="264" w:lineRule="auto"/>
              <w:jc w:val="center"/>
            </w:pPr>
            <w:r/>
            <w:r>
              <w:rPr>
                <w:sz w:val="18"/>
              </w:rPr>
              <w:t>0,758</w:t>
              <w:br/>
              <w:t>[0,643; 0,833]</w:t>
            </w:r>
          </w:p>
        </w:tc>
        <w:tc>
          <w:tcPr>
            <w:tcW w:type="dxa" w:w="1332"/>
            <w:shd w:val="clear" w:color="auto" w:fill="F0F5FC"/>
          </w:tcPr>
          <w:p>
            <w:pPr>
              <w:spacing w:after="20" w:line="264" w:lineRule="auto"/>
              <w:jc w:val="center"/>
            </w:pPr>
            <w:r/>
            <w:r>
              <w:rPr>
                <w:sz w:val="18"/>
              </w:rPr>
              <w:t>46,7%</w:t>
              <w:br/>
              <w:t>[20,0%; 73,3%]</w:t>
            </w:r>
          </w:p>
        </w:tc>
        <w:tc>
          <w:tcPr>
            <w:tcW w:type="dxa" w:w="1361"/>
            <w:shd w:val="clear" w:color="auto" w:fill="F0F5FC"/>
          </w:tcPr>
          <w:p>
            <w:pPr>
              <w:spacing w:after="20" w:line="264" w:lineRule="auto"/>
              <w:jc w:val="center"/>
            </w:pPr>
            <w:r/>
            <w:r>
              <w:rPr>
                <w:sz w:val="18"/>
              </w:rPr>
              <w:t>86,7%</w:t>
              <w:br/>
              <w:t>[66,7%; 100,0%]</w:t>
            </w:r>
          </w:p>
        </w:tc>
      </w:tr>
      <w:tr>
        <w:trPr>
          <w:cantSplit w:val="true"/>
        </w:trPr>
        <w:tc>
          <w:tcPr>
            <w:tcW w:type="dxa" w:w="1191"/>
          </w:tcPr>
          <w:p>
            <w:pPr>
              <w:spacing w:after="20" w:line="264" w:lineRule="auto"/>
              <w:jc w:val="left"/>
            </w:pPr>
            <w:r>
              <w:rPr>
                <w:b/>
              </w:rPr>
            </w:r>
          </w:p>
        </w:tc>
        <w:tc>
          <w:tcPr>
            <w:tcW w:type="dxa" w:w="1191"/>
          </w:tcPr>
          <w:p>
            <w:pPr>
              <w:spacing w:after="20" w:line="264" w:lineRule="auto"/>
              <w:jc w:val="left"/>
            </w:pPr>
            <w:r/>
            <w:r>
              <w:rPr>
                <w:sz w:val="18"/>
              </w:rPr>
              <w:t>KG20 (n = 15)</w:t>
            </w:r>
          </w:p>
        </w:tc>
        <w:tc>
          <w:tcPr>
            <w:tcW w:type="dxa" w:w="1332"/>
          </w:tcPr>
          <w:p>
            <w:pPr>
              <w:spacing w:after="20" w:line="264" w:lineRule="auto"/>
              <w:jc w:val="center"/>
            </w:pPr>
            <w:r/>
            <w:r>
              <w:rPr>
                <w:sz w:val="18"/>
              </w:rPr>
              <w:t>0,367</w:t>
              <w:br/>
              <w:t>[0,217; 0,517]</w:t>
            </w:r>
          </w:p>
        </w:tc>
        <w:tc>
          <w:tcPr>
            <w:tcW w:type="dxa" w:w="1332"/>
          </w:tcPr>
          <w:p>
            <w:pPr>
              <w:spacing w:after="20" w:line="264" w:lineRule="auto"/>
              <w:jc w:val="center"/>
            </w:pPr>
            <w:r/>
            <w:r>
              <w:rPr>
                <w:sz w:val="18"/>
              </w:rPr>
              <w:t>0,804</w:t>
              <w:br/>
              <w:t>[0,725; 0,880]</w:t>
              <w:br/>
              <w:t>(n = 13)</w:t>
            </w:r>
          </w:p>
        </w:tc>
        <w:tc>
          <w:tcPr>
            <w:tcW w:type="dxa" w:w="1332"/>
          </w:tcPr>
          <w:p>
            <w:pPr>
              <w:spacing w:after="20" w:line="264" w:lineRule="auto"/>
              <w:jc w:val="center"/>
            </w:pPr>
            <w:r/>
            <w:r>
              <w:rPr>
                <w:sz w:val="18"/>
              </w:rPr>
              <w:t>0,698</w:t>
              <w:br/>
              <w:t>[0,538; 0,816]</w:t>
            </w:r>
          </w:p>
        </w:tc>
        <w:tc>
          <w:tcPr>
            <w:tcW w:type="dxa" w:w="1332"/>
          </w:tcPr>
          <w:p>
            <w:pPr>
              <w:spacing w:after="20" w:line="264" w:lineRule="auto"/>
              <w:jc w:val="center"/>
            </w:pPr>
            <w:r/>
            <w:r>
              <w:rPr>
                <w:sz w:val="18"/>
              </w:rPr>
              <w:t>60,0%</w:t>
              <w:br/>
              <w:t>[33,3%; 86,7%]</w:t>
            </w:r>
          </w:p>
        </w:tc>
        <w:tc>
          <w:tcPr>
            <w:tcW w:type="dxa" w:w="1361"/>
          </w:tcPr>
          <w:p>
            <w:pPr>
              <w:spacing w:after="20" w:line="264" w:lineRule="auto"/>
              <w:jc w:val="center"/>
            </w:pPr>
            <w:r/>
            <w:r>
              <w:rPr>
                <w:sz w:val="18"/>
              </w:rPr>
              <w:t>86,7%</w:t>
              <w:br/>
              <w:t>[66,7%; 100,0%]</w:t>
            </w:r>
          </w:p>
        </w:tc>
      </w:tr>
      <w:tr>
        <w:trPr>
          <w:cantSplit w:val="true"/>
        </w:trPr>
        <w:tc>
          <w:tcPr>
            <w:tcW w:type="dxa" w:w="1191"/>
            <w:shd w:val="clear" w:color="auto" w:fill="F0F5FC"/>
          </w:tcPr>
          <w:p>
            <w:pPr>
              <w:spacing w:after="20" w:line="264" w:lineRule="auto"/>
              <w:jc w:val="left"/>
            </w:pPr>
            <w:r>
              <w:rPr>
                <w:b/>
              </w:rPr>
            </w:r>
          </w:p>
        </w:tc>
        <w:tc>
          <w:tcPr>
            <w:tcW w:type="dxa" w:w="1191"/>
            <w:shd w:val="clear" w:color="auto" w:fill="F0F5FC"/>
          </w:tcPr>
          <w:p>
            <w:pPr>
              <w:spacing w:after="20" w:line="264" w:lineRule="auto"/>
              <w:jc w:val="left"/>
            </w:pPr>
            <w:r/>
            <w:r>
              <w:rPr>
                <w:sz w:val="18"/>
              </w:rPr>
              <w:t>KG30 (n = 15)</w:t>
            </w:r>
          </w:p>
        </w:tc>
        <w:tc>
          <w:tcPr>
            <w:tcW w:type="dxa" w:w="1332"/>
            <w:shd w:val="clear" w:color="auto" w:fill="F0F5FC"/>
          </w:tcPr>
          <w:p>
            <w:pPr>
              <w:spacing w:after="20" w:line="264" w:lineRule="auto"/>
              <w:jc w:val="center"/>
            </w:pPr>
            <w:r/>
            <w:r>
              <w:rPr>
                <w:sz w:val="18"/>
              </w:rPr>
              <w:t>0,467</w:t>
              <w:br/>
              <w:t>[0,333; 0,583]</w:t>
            </w:r>
          </w:p>
        </w:tc>
        <w:tc>
          <w:tcPr>
            <w:tcW w:type="dxa" w:w="1332"/>
            <w:shd w:val="clear" w:color="auto" w:fill="F0F5FC"/>
          </w:tcPr>
          <w:p>
            <w:pPr>
              <w:spacing w:after="20" w:line="264" w:lineRule="auto"/>
              <w:jc w:val="center"/>
            </w:pPr>
            <w:r/>
            <w:r>
              <w:rPr>
                <w:sz w:val="18"/>
              </w:rPr>
              <w:t>0,771</w:t>
              <w:br/>
              <w:t>[0,662; 0,872]</w:t>
              <w:br/>
              <w:t>(n = 13)</w:t>
            </w:r>
          </w:p>
        </w:tc>
        <w:tc>
          <w:tcPr>
            <w:tcW w:type="dxa" w:w="1332"/>
            <w:shd w:val="clear" w:color="auto" w:fill="F0F5FC"/>
          </w:tcPr>
          <w:p>
            <w:pPr>
              <w:spacing w:after="20" w:line="264" w:lineRule="auto"/>
              <w:jc w:val="center"/>
            </w:pPr>
            <w:r/>
            <w:r>
              <w:rPr>
                <w:sz w:val="18"/>
              </w:rPr>
              <w:t>0,714</w:t>
              <w:br/>
              <w:t>[0,554; 0,836]</w:t>
            </w:r>
          </w:p>
        </w:tc>
        <w:tc>
          <w:tcPr>
            <w:tcW w:type="dxa" w:w="1332"/>
            <w:shd w:val="clear" w:color="auto" w:fill="F0F5FC"/>
          </w:tcPr>
          <w:p>
            <w:pPr>
              <w:spacing w:after="20" w:line="264" w:lineRule="auto"/>
              <w:jc w:val="center"/>
            </w:pPr>
            <w:r/>
            <w:r>
              <w:rPr>
                <w:sz w:val="18"/>
              </w:rPr>
              <w:t>60,0%</w:t>
              <w:br/>
              <w:t>[33,3%; 86,7%]</w:t>
            </w:r>
          </w:p>
        </w:tc>
        <w:tc>
          <w:tcPr>
            <w:tcW w:type="dxa" w:w="1361"/>
            <w:shd w:val="clear" w:color="auto" w:fill="F0F5FC"/>
          </w:tcPr>
          <w:p>
            <w:pPr>
              <w:spacing w:after="20" w:line="264" w:lineRule="auto"/>
              <w:jc w:val="center"/>
            </w:pPr>
            <w:r/>
            <w:r>
              <w:rPr>
                <w:sz w:val="18"/>
              </w:rPr>
              <w:t>80,0%</w:t>
              <w:br/>
              <w:t>[60,0%; 100,0%]</w:t>
            </w:r>
          </w:p>
        </w:tc>
      </w:tr>
      <w:tr>
        <w:trPr>
          <w:cantSplit w:val="true"/>
        </w:trPr>
        <w:tc>
          <w:tcPr>
            <w:tcW w:type="dxa" w:w="1191"/>
          </w:tcPr>
          <w:p>
            <w:pPr>
              <w:spacing w:after="20" w:line="264" w:lineRule="auto"/>
              <w:jc w:val="left"/>
            </w:pPr>
            <w:r>
              <w:rPr>
                <w:b/>
              </w:rPr>
            </w:r>
            <w:r>
              <w:rPr>
                <w:b/>
                <w:sz w:val="18"/>
              </w:rPr>
              <w:t>Toàn bộ 62 câu</w:t>
            </w:r>
          </w:p>
        </w:tc>
        <w:tc>
          <w:tcPr>
            <w:tcW w:type="dxa" w:w="1191"/>
          </w:tcPr>
          <w:p>
            <w:pPr>
              <w:spacing w:after="20" w:line="264" w:lineRule="auto"/>
              <w:jc w:val="left"/>
            </w:pPr>
            <w:r/>
            <w:r>
              <w:rPr>
                <w:sz w:val="18"/>
              </w:rPr>
              <w:t>KG10 (n = 62)</w:t>
            </w:r>
          </w:p>
        </w:tc>
        <w:tc>
          <w:tcPr>
            <w:tcW w:type="dxa" w:w="1332"/>
          </w:tcPr>
          <w:p>
            <w:pPr>
              <w:spacing w:after="20" w:line="264" w:lineRule="auto"/>
              <w:jc w:val="center"/>
            </w:pPr>
            <w:r/>
            <w:r>
              <w:rPr>
                <w:sz w:val="18"/>
              </w:rPr>
              <w:t>0,452</w:t>
              <w:br/>
              <w:t>[0,387; 0,512]</w:t>
            </w:r>
          </w:p>
        </w:tc>
        <w:tc>
          <w:tcPr>
            <w:tcW w:type="dxa" w:w="1332"/>
          </w:tcPr>
          <w:p>
            <w:pPr>
              <w:spacing w:after="20" w:line="264" w:lineRule="auto"/>
              <w:jc w:val="center"/>
            </w:pPr>
            <w:r/>
            <w:r>
              <w:rPr>
                <w:sz w:val="18"/>
              </w:rPr>
              <w:t>0,724</w:t>
              <w:br/>
              <w:t>[0,636; 0,812]</w:t>
              <w:br/>
              <w:t>(n = 39)</w:t>
            </w:r>
          </w:p>
        </w:tc>
        <w:tc>
          <w:tcPr>
            <w:tcW w:type="dxa" w:w="1332"/>
          </w:tcPr>
          <w:p>
            <w:pPr>
              <w:spacing w:after="20" w:line="264" w:lineRule="auto"/>
              <w:jc w:val="center"/>
            </w:pPr>
            <w:r/>
            <w:r>
              <w:rPr>
                <w:sz w:val="18"/>
              </w:rPr>
              <w:t>0,500</w:t>
              <w:br/>
              <w:t>[0,397; 0,603]</w:t>
            </w:r>
          </w:p>
        </w:tc>
        <w:tc>
          <w:tcPr>
            <w:tcW w:type="dxa" w:w="1332"/>
          </w:tcPr>
          <w:p>
            <w:pPr>
              <w:spacing w:after="20" w:line="264" w:lineRule="auto"/>
              <w:jc w:val="center"/>
            </w:pPr>
            <w:r/>
            <w:r>
              <w:rPr>
                <w:sz w:val="18"/>
              </w:rPr>
              <w:t>40,3%</w:t>
              <w:br/>
              <w:t>[27,4%; 53,2%]</w:t>
            </w:r>
          </w:p>
        </w:tc>
        <w:tc>
          <w:tcPr>
            <w:tcW w:type="dxa" w:w="1361"/>
          </w:tcPr>
          <w:p>
            <w:pPr>
              <w:spacing w:after="20" w:line="264" w:lineRule="auto"/>
              <w:jc w:val="center"/>
            </w:pPr>
            <w:r/>
            <w:r>
              <w:rPr>
                <w:sz w:val="18"/>
              </w:rPr>
              <w:t>54,8%</w:t>
              <w:br/>
              <w:t>[43,5%; 67,7%]</w:t>
            </w:r>
          </w:p>
        </w:tc>
      </w:tr>
      <w:tr>
        <w:trPr>
          <w:cantSplit w:val="true"/>
        </w:trPr>
        <w:tc>
          <w:tcPr>
            <w:tcW w:type="dxa" w:w="1191"/>
            <w:shd w:val="clear" w:color="auto" w:fill="F0F5FC"/>
          </w:tcPr>
          <w:p>
            <w:pPr>
              <w:spacing w:after="20" w:line="264" w:lineRule="auto"/>
              <w:jc w:val="left"/>
            </w:pPr>
            <w:r>
              <w:rPr>
                <w:b/>
              </w:rPr>
            </w:r>
          </w:p>
        </w:tc>
        <w:tc>
          <w:tcPr>
            <w:tcW w:type="dxa" w:w="1191"/>
            <w:shd w:val="clear" w:color="auto" w:fill="F0F5FC"/>
          </w:tcPr>
          <w:p>
            <w:pPr>
              <w:spacing w:after="20" w:line="264" w:lineRule="auto"/>
              <w:jc w:val="left"/>
            </w:pPr>
            <w:r/>
            <w:r>
              <w:rPr>
                <w:sz w:val="18"/>
              </w:rPr>
              <w:t>KG20 (n = 62)</w:t>
            </w:r>
          </w:p>
        </w:tc>
        <w:tc>
          <w:tcPr>
            <w:tcW w:type="dxa" w:w="1332"/>
            <w:shd w:val="clear" w:color="auto" w:fill="F0F5FC"/>
          </w:tcPr>
          <w:p>
            <w:pPr>
              <w:spacing w:after="20" w:line="264" w:lineRule="auto"/>
              <w:jc w:val="center"/>
            </w:pPr>
            <w:r/>
            <w:r>
              <w:rPr>
                <w:sz w:val="18"/>
              </w:rPr>
              <w:t>0,460</w:t>
              <w:br/>
              <w:t>[0,399; 0,520]</w:t>
            </w:r>
          </w:p>
        </w:tc>
        <w:tc>
          <w:tcPr>
            <w:tcW w:type="dxa" w:w="1332"/>
            <w:shd w:val="clear" w:color="auto" w:fill="F0F5FC"/>
          </w:tcPr>
          <w:p>
            <w:pPr>
              <w:spacing w:after="20" w:line="264" w:lineRule="auto"/>
              <w:jc w:val="center"/>
            </w:pPr>
            <w:r/>
            <w:r>
              <w:rPr>
                <w:sz w:val="18"/>
              </w:rPr>
              <w:t>0,817</w:t>
              <w:br/>
              <w:t>[0,776; 0,856]</w:t>
              <w:br/>
              <w:t>(n = 48)</w:t>
            </w:r>
          </w:p>
        </w:tc>
        <w:tc>
          <w:tcPr>
            <w:tcW w:type="dxa" w:w="1332"/>
            <w:shd w:val="clear" w:color="auto" w:fill="F0F5FC"/>
          </w:tcPr>
          <w:p>
            <w:pPr>
              <w:spacing w:after="20" w:line="264" w:lineRule="auto"/>
              <w:jc w:val="center"/>
            </w:pPr>
            <w:r/>
            <w:r>
              <w:rPr>
                <w:sz w:val="18"/>
              </w:rPr>
              <w:t>0,632</w:t>
              <w:br/>
              <w:t>[0,542; 0,712]</w:t>
            </w:r>
          </w:p>
        </w:tc>
        <w:tc>
          <w:tcPr>
            <w:tcW w:type="dxa" w:w="1332"/>
            <w:shd w:val="clear" w:color="auto" w:fill="F0F5FC"/>
          </w:tcPr>
          <w:p>
            <w:pPr>
              <w:spacing w:after="20" w:line="264" w:lineRule="auto"/>
              <w:jc w:val="center"/>
            </w:pPr>
            <w:r/>
            <w:r>
              <w:rPr>
                <w:sz w:val="18"/>
              </w:rPr>
              <w:t>53,2%</w:t>
              <w:br/>
              <w:t>[40,3%; 66,1%]</w:t>
            </w:r>
          </w:p>
        </w:tc>
        <w:tc>
          <w:tcPr>
            <w:tcW w:type="dxa" w:w="1361"/>
            <w:shd w:val="clear" w:color="auto" w:fill="F0F5FC"/>
          </w:tcPr>
          <w:p>
            <w:pPr>
              <w:spacing w:after="20" w:line="264" w:lineRule="auto"/>
              <w:jc w:val="center"/>
            </w:pPr>
            <w:r/>
            <w:r>
              <w:rPr>
                <w:sz w:val="18"/>
              </w:rPr>
              <w:t>75,8%</w:t>
              <w:br/>
              <w:t>[64,5%; 85,5%]</w:t>
            </w:r>
          </w:p>
        </w:tc>
      </w:tr>
      <w:tr>
        <w:trPr>
          <w:cantSplit w:val="true"/>
        </w:trPr>
        <w:tc>
          <w:tcPr>
            <w:tcW w:type="dxa" w:w="1191"/>
          </w:tcPr>
          <w:p>
            <w:pPr>
              <w:spacing w:after="20" w:line="264" w:lineRule="auto"/>
              <w:jc w:val="left"/>
            </w:pPr>
            <w:r>
              <w:rPr>
                <w:b/>
              </w:rPr>
            </w:r>
          </w:p>
        </w:tc>
        <w:tc>
          <w:tcPr>
            <w:tcW w:type="dxa" w:w="1191"/>
          </w:tcPr>
          <w:p>
            <w:pPr>
              <w:spacing w:after="20" w:line="264" w:lineRule="auto"/>
              <w:jc w:val="left"/>
            </w:pPr>
            <w:r/>
            <w:r>
              <w:rPr>
                <w:sz w:val="18"/>
              </w:rPr>
              <w:t>KG30 (n = 62)</w:t>
            </w:r>
          </w:p>
        </w:tc>
        <w:tc>
          <w:tcPr>
            <w:tcW w:type="dxa" w:w="1332"/>
          </w:tcPr>
          <w:p>
            <w:pPr>
              <w:spacing w:after="20" w:line="264" w:lineRule="auto"/>
              <w:jc w:val="center"/>
            </w:pPr>
            <w:r/>
            <w:r>
              <w:rPr>
                <w:sz w:val="18"/>
              </w:rPr>
              <w:t>0,488</w:t>
              <w:br/>
              <w:t>[0,423; 0,544]</w:t>
            </w:r>
          </w:p>
        </w:tc>
        <w:tc>
          <w:tcPr>
            <w:tcW w:type="dxa" w:w="1332"/>
          </w:tcPr>
          <w:p>
            <w:pPr>
              <w:spacing w:after="20" w:line="264" w:lineRule="auto"/>
              <w:jc w:val="center"/>
            </w:pPr>
            <w:r/>
            <w:r>
              <w:rPr>
                <w:sz w:val="18"/>
              </w:rPr>
              <w:t>0,847</w:t>
              <w:br/>
              <w:t>[0,809; 0,884]</w:t>
              <w:br/>
              <w:t>(n = 56)</w:t>
            </w:r>
          </w:p>
        </w:tc>
        <w:tc>
          <w:tcPr>
            <w:tcW w:type="dxa" w:w="1332"/>
          </w:tcPr>
          <w:p>
            <w:pPr>
              <w:spacing w:after="20" w:line="264" w:lineRule="auto"/>
              <w:jc w:val="center"/>
            </w:pPr>
            <w:r/>
            <w:r>
              <w:rPr>
                <w:sz w:val="18"/>
              </w:rPr>
              <w:t>0,740</w:t>
              <w:br/>
              <w:t>[0,675; 0,796]</w:t>
            </w:r>
          </w:p>
        </w:tc>
        <w:tc>
          <w:tcPr>
            <w:tcW w:type="dxa" w:w="1332"/>
          </w:tcPr>
          <w:p>
            <w:pPr>
              <w:spacing w:after="20" w:line="264" w:lineRule="auto"/>
              <w:jc w:val="center"/>
            </w:pPr>
            <w:r/>
            <w:r>
              <w:rPr>
                <w:sz w:val="18"/>
              </w:rPr>
              <w:t>53,2%</w:t>
              <w:br/>
              <w:t>[40,3%; 66,1%]</w:t>
            </w:r>
          </w:p>
        </w:tc>
        <w:tc>
          <w:tcPr>
            <w:tcW w:type="dxa" w:w="1361"/>
          </w:tcPr>
          <w:p>
            <w:pPr>
              <w:spacing w:after="20" w:line="264" w:lineRule="auto"/>
              <w:jc w:val="center"/>
            </w:pPr>
            <w:r/>
            <w:r>
              <w:rPr>
                <w:sz w:val="18"/>
              </w:rPr>
              <w:t>82,3%</w:t>
              <w:br/>
              <w:t>[72,6%; 91,9%]</w:t>
            </w:r>
          </w:p>
        </w:tc>
      </w:tr>
    </w:tbl>
    <w:p>
      <w:pPr>
        <w:spacing w:after="40"/>
      </w:pPr>
    </w:p>
    <w:p>
      <w:r>
        <w:rPr>
          <w:i/>
          <w:sz w:val="20"/>
        </w:rPr>
        <w:t>n ở cột KG là số câu hỏi. Faithfulness chỉ tính trên câu trả lời có claim (bỏ câu refusal), n ghi trong ô; các chỉ số khác tính trên đủ n câu (câu refusal có hallucination = 0, answer relevancy = 0, answer correctness = 0).</w:t>
      </w:r>
    </w:p>
    <w:p>
      <w:pPr>
        <w:keepNext/>
        <w:jc w:val="center"/>
      </w:pPr>
      <w:r>
        <w:drawing>
          <wp:inline xmlns:a="http://schemas.openxmlformats.org/drawingml/2006/main" xmlns:pic="http://schemas.openxmlformats.org/drawingml/2006/picture">
            <wp:extent cx="5940000" cy="1485000"/>
            <wp:docPr id="3" name="Picture 3"/>
            <wp:cNvGraphicFramePr>
              <a:graphicFrameLocks noChangeAspect="1"/>
            </wp:cNvGraphicFramePr>
            <a:graphic>
              <a:graphicData uri="http://schemas.openxmlformats.org/drawingml/2006/picture">
                <pic:pic>
                  <pic:nvPicPr>
                    <pic:cNvPr id="0" name="y3_fig3_answer.png"/>
                    <pic:cNvPicPr/>
                  </pic:nvPicPr>
                  <pic:blipFill>
                    <a:blip r:embed="rId12"/>
                    <a:stretch>
                      <a:fillRect/>
                    </a:stretch>
                  </pic:blipFill>
                  <pic:spPr>
                    <a:xfrm>
                      <a:off x="0" y="0"/>
                      <a:ext cx="5940000" cy="1485000"/>
                    </a:xfrm>
                    <a:prstGeom prst="rect"/>
                  </pic:spPr>
                </pic:pic>
              </a:graphicData>
            </a:graphic>
          </wp:inline>
        </w:drawing>
      </w:r>
    </w:p>
    <w:p>
      <w:pPr>
        <w:pStyle w:val="Caption"/>
        <w:jc w:val="center"/>
      </w:pPr>
      <w:r>
        <w:t>Hình 3. Năm chỉ số chính theo k, ba cách nhìn</w:t>
      </w:r>
    </w:p>
    <w:p>
      <w:pPr>
        <w:pStyle w:val="Caption"/>
        <w:keepNext/>
        <w:jc w:val="center"/>
      </w:pPr>
      <w:r>
        <w:t>Bảng 8. Paired difference trên cùng câu hỏi (in đậm: CI 95% không chứa 0)</w:t>
      </w:r>
    </w:p>
    <w:tbl>
      <w:tblPr>
        <w:tblStyle w:val="TableGrid"/>
        <w:tblW w:type="auto" w:w="0"/>
        <w:jc w:val="center"/>
        <w:tblLayout w:type="fixed"/>
        <w:tblLook w:firstColumn="1" w:firstRow="1" w:lastColumn="0" w:lastRow="0" w:noHBand="0" w:noVBand="1" w:val="04A0"/>
      </w:tblPr>
      <w:tblGrid>
        <w:gridCol w:w="1512"/>
        <w:gridCol w:w="1512"/>
        <w:gridCol w:w="1512"/>
        <w:gridCol w:w="1512"/>
        <w:gridCol w:w="1512"/>
        <w:gridCol w:w="1512"/>
      </w:tblGrid>
      <w:tr>
        <w:trPr>
          <w:tblHeader w:val="true"/>
          <w:cantSplit w:val="true"/>
        </w:trPr>
        <w:tc>
          <w:tcPr>
            <w:tcW w:type="dxa" w:w="1814"/>
            <w:shd w:val="clear" w:color="auto" w:fill="1C5CAB"/>
          </w:tcPr>
          <w:p>
            <w:pPr>
              <w:spacing w:after="20" w:line="264" w:lineRule="auto"/>
              <w:jc w:val="center"/>
            </w:pPr>
            <w:r/>
            <w:r>
              <w:rPr>
                <w:b/>
                <w:color w:val="FFFFFF"/>
                <w:sz w:val="18"/>
              </w:rPr>
              <w:t>So sánh</w:t>
            </w:r>
          </w:p>
        </w:tc>
        <w:tc>
          <w:tcPr>
            <w:tcW w:type="dxa" w:w="1474"/>
            <w:shd w:val="clear" w:color="auto" w:fill="1C5CAB"/>
          </w:tcPr>
          <w:p>
            <w:pPr>
              <w:spacing w:after="20" w:line="264" w:lineRule="auto"/>
              <w:jc w:val="center"/>
            </w:pPr>
            <w:r/>
            <w:r>
              <w:rPr>
                <w:b/>
                <w:color w:val="FFFFFF"/>
                <w:sz w:val="18"/>
              </w:rPr>
              <w:t>Δ Retrieval precision</w:t>
            </w:r>
          </w:p>
        </w:tc>
        <w:tc>
          <w:tcPr>
            <w:tcW w:type="dxa" w:w="1474"/>
            <w:shd w:val="clear" w:color="auto" w:fill="1C5CAB"/>
          </w:tcPr>
          <w:p>
            <w:pPr>
              <w:spacing w:after="20" w:line="264" w:lineRule="auto"/>
              <w:jc w:val="center"/>
            </w:pPr>
            <w:r/>
            <w:r>
              <w:rPr>
                <w:b/>
                <w:color w:val="FFFFFF"/>
                <w:sz w:val="18"/>
              </w:rPr>
              <w:t>Δ Faithfulness</w:t>
            </w:r>
          </w:p>
        </w:tc>
        <w:tc>
          <w:tcPr>
            <w:tcW w:type="dxa" w:w="1474"/>
            <w:shd w:val="clear" w:color="auto" w:fill="1C5CAB"/>
          </w:tcPr>
          <w:p>
            <w:pPr>
              <w:spacing w:after="20" w:line="264" w:lineRule="auto"/>
              <w:jc w:val="center"/>
            </w:pPr>
            <w:r/>
            <w:r>
              <w:rPr>
                <w:b/>
                <w:color w:val="FFFFFF"/>
                <w:sz w:val="18"/>
              </w:rPr>
              <w:t>Δ Answer relevancy</w:t>
            </w:r>
          </w:p>
        </w:tc>
        <w:tc>
          <w:tcPr>
            <w:tcW w:type="dxa" w:w="1474"/>
            <w:shd w:val="clear" w:color="auto" w:fill="1C5CAB"/>
          </w:tcPr>
          <w:p>
            <w:pPr>
              <w:spacing w:after="20" w:line="264" w:lineRule="auto"/>
              <w:jc w:val="center"/>
            </w:pPr>
            <w:r/>
            <w:r>
              <w:rPr>
                <w:b/>
                <w:color w:val="FFFFFF"/>
                <w:sz w:val="18"/>
              </w:rPr>
              <w:t>Δ Hallucination rate</w:t>
            </w:r>
          </w:p>
        </w:tc>
        <w:tc>
          <w:tcPr>
            <w:tcW w:type="dxa" w:w="1361"/>
            <w:shd w:val="clear" w:color="auto" w:fill="1C5CAB"/>
          </w:tcPr>
          <w:p>
            <w:pPr>
              <w:spacing w:after="20" w:line="264" w:lineRule="auto"/>
              <w:jc w:val="center"/>
            </w:pPr>
            <w:r/>
            <w:r>
              <w:rPr>
                <w:b/>
                <w:color w:val="FFFFFF"/>
                <w:sz w:val="18"/>
              </w:rPr>
              <w:t>Δ Answer correctness</w:t>
            </w:r>
          </w:p>
        </w:tc>
      </w:tr>
      <w:tr>
        <w:trPr>
          <w:cantSplit w:val="true"/>
        </w:trPr>
        <w:tc>
          <w:tcPr>
            <w:tcW w:type="dxa" w:w="1814"/>
          </w:tcPr>
          <w:p>
            <w:pPr>
              <w:spacing w:after="20" w:line="264" w:lineRule="auto"/>
              <w:jc w:val="left"/>
            </w:pPr>
            <w:r>
              <w:rPr>
                <w:b/>
              </w:rPr>
            </w:r>
            <w:r>
              <w:rPr>
                <w:b/>
                <w:sz w:val="18"/>
              </w:rPr>
              <w:t>S10: KG10 − KG30 (n = 15)</w:t>
            </w:r>
          </w:p>
        </w:tc>
        <w:tc>
          <w:tcPr>
            <w:tcW w:type="dxa" w:w="1474"/>
          </w:tcPr>
          <w:p>
            <w:pPr>
              <w:spacing w:after="20" w:line="264" w:lineRule="auto"/>
              <w:jc w:val="center"/>
            </w:pPr>
            <w:r/>
            <w:r>
              <w:rPr>
                <w:sz w:val="18"/>
              </w:rPr>
              <w:t>-0,017 (p ≈ 0,87)</w:t>
            </w:r>
          </w:p>
        </w:tc>
        <w:tc>
          <w:tcPr>
            <w:tcW w:type="dxa" w:w="1474"/>
          </w:tcPr>
          <w:p>
            <w:pPr>
              <w:spacing w:after="20" w:line="264" w:lineRule="auto"/>
              <w:jc w:val="center"/>
            </w:pPr>
            <w:r/>
            <w:r>
              <w:rPr>
                <w:sz w:val="18"/>
              </w:rPr>
              <w:t>+0,006 (p ≈ 0,93)</w:t>
            </w:r>
          </w:p>
        </w:tc>
        <w:tc>
          <w:tcPr>
            <w:tcW w:type="dxa" w:w="1474"/>
          </w:tcPr>
          <w:p>
            <w:pPr>
              <w:spacing w:after="20" w:line="264" w:lineRule="auto"/>
              <w:jc w:val="center"/>
            </w:pPr>
            <w:r/>
            <w:r>
              <w:rPr>
                <w:sz w:val="18"/>
              </w:rPr>
              <w:t>+0,044 (p ≈ 0,61)</w:t>
            </w:r>
          </w:p>
        </w:tc>
        <w:tc>
          <w:tcPr>
            <w:tcW w:type="dxa" w:w="1474"/>
          </w:tcPr>
          <w:p>
            <w:pPr>
              <w:spacing w:after="20" w:line="264" w:lineRule="auto"/>
              <w:jc w:val="center"/>
            </w:pPr>
            <w:r/>
            <w:r>
              <w:rPr>
                <w:sz w:val="18"/>
              </w:rPr>
              <w:t>-13,3 điểm % (p ≈ 0,53)</w:t>
            </w:r>
          </w:p>
        </w:tc>
        <w:tc>
          <w:tcPr>
            <w:tcW w:type="dxa" w:w="1361"/>
          </w:tcPr>
          <w:p>
            <w:pPr>
              <w:spacing w:after="20" w:line="264" w:lineRule="auto"/>
              <w:jc w:val="center"/>
            </w:pPr>
            <w:r/>
            <w:r>
              <w:rPr>
                <w:sz w:val="18"/>
              </w:rPr>
              <w:t>+6,7 điểm % (p ≈ 0,75)</w:t>
            </w:r>
          </w:p>
        </w:tc>
      </w:tr>
      <w:tr>
        <w:trPr>
          <w:cantSplit w:val="true"/>
        </w:trPr>
        <w:tc>
          <w:tcPr>
            <w:tcW w:type="dxa" w:w="1814"/>
            <w:shd w:val="clear" w:color="auto" w:fill="F0F5FC"/>
          </w:tcPr>
          <w:p>
            <w:pPr>
              <w:spacing w:after="20" w:line="264" w:lineRule="auto"/>
              <w:jc w:val="left"/>
            </w:pPr>
            <w:r>
              <w:rPr>
                <w:b/>
              </w:rPr>
            </w:r>
            <w:r>
              <w:rPr>
                <w:b/>
                <w:sz w:val="18"/>
              </w:rPr>
              <w:t>S10: KG20 − KG30 (n = 15)</w:t>
            </w:r>
          </w:p>
        </w:tc>
        <w:tc>
          <w:tcPr>
            <w:tcW w:type="dxa" w:w="1474"/>
            <w:shd w:val="clear" w:color="auto" w:fill="F0F5FC"/>
          </w:tcPr>
          <w:p>
            <w:pPr>
              <w:spacing w:after="20" w:line="264" w:lineRule="auto"/>
              <w:jc w:val="center"/>
            </w:pPr>
            <w:r/>
            <w:r>
              <w:rPr>
                <w:sz w:val="18"/>
              </w:rPr>
              <w:t>-0,100 (p ≈ 0,12)</w:t>
            </w:r>
          </w:p>
        </w:tc>
        <w:tc>
          <w:tcPr>
            <w:tcW w:type="dxa" w:w="1474"/>
            <w:shd w:val="clear" w:color="auto" w:fill="F0F5FC"/>
          </w:tcPr>
          <w:p>
            <w:pPr>
              <w:spacing w:after="20" w:line="264" w:lineRule="auto"/>
              <w:jc w:val="center"/>
            </w:pPr>
            <w:r/>
            <w:r>
              <w:rPr>
                <w:sz w:val="18"/>
              </w:rPr>
              <w:t>+0,031 (p ≈ 0,51)</w:t>
            </w:r>
          </w:p>
        </w:tc>
        <w:tc>
          <w:tcPr>
            <w:tcW w:type="dxa" w:w="1474"/>
            <w:shd w:val="clear" w:color="auto" w:fill="F0F5FC"/>
          </w:tcPr>
          <w:p>
            <w:pPr>
              <w:spacing w:after="20" w:line="264" w:lineRule="auto"/>
              <w:jc w:val="center"/>
            </w:pPr>
            <w:r/>
            <w:r>
              <w:rPr>
                <w:sz w:val="18"/>
              </w:rPr>
              <w:t>-0,016 (p ≈ 0,75)</w:t>
            </w:r>
          </w:p>
        </w:tc>
        <w:tc>
          <w:tcPr>
            <w:tcW w:type="dxa" w:w="1474"/>
            <w:shd w:val="clear" w:color="auto" w:fill="F0F5FC"/>
          </w:tcPr>
          <w:p>
            <w:pPr>
              <w:spacing w:after="20" w:line="264" w:lineRule="auto"/>
              <w:jc w:val="center"/>
            </w:pPr>
            <w:r/>
            <w:r>
              <w:rPr>
                <w:sz w:val="18"/>
              </w:rPr>
              <w:t>+0,0 điểm % (p ≈ 1,00)</w:t>
            </w:r>
          </w:p>
        </w:tc>
        <w:tc>
          <w:tcPr>
            <w:tcW w:type="dxa" w:w="1361"/>
            <w:shd w:val="clear" w:color="auto" w:fill="F0F5FC"/>
          </w:tcPr>
          <w:p>
            <w:pPr>
              <w:spacing w:after="20" w:line="264" w:lineRule="auto"/>
              <w:jc w:val="center"/>
            </w:pPr>
            <w:r/>
            <w:r>
              <w:rPr>
                <w:sz w:val="18"/>
              </w:rPr>
              <w:t>+6,7 điểm % (p ≈ 0,72)</w:t>
            </w:r>
          </w:p>
        </w:tc>
      </w:tr>
      <w:tr>
        <w:trPr>
          <w:cantSplit w:val="true"/>
        </w:trPr>
        <w:tc>
          <w:tcPr>
            <w:tcW w:type="dxa" w:w="1814"/>
          </w:tcPr>
          <w:p>
            <w:pPr>
              <w:spacing w:after="20" w:line="264" w:lineRule="auto"/>
              <w:jc w:val="left"/>
            </w:pPr>
            <w:r>
              <w:rPr>
                <w:b/>
              </w:rPr>
            </w:r>
            <w:r>
              <w:rPr>
                <w:b/>
                <w:sz w:val="18"/>
              </w:rPr>
              <w:t>S10: KG10 − KG20 (n = 15)</w:t>
            </w:r>
          </w:p>
        </w:tc>
        <w:tc>
          <w:tcPr>
            <w:tcW w:type="dxa" w:w="1474"/>
          </w:tcPr>
          <w:p>
            <w:pPr>
              <w:spacing w:after="20" w:line="264" w:lineRule="auto"/>
              <w:jc w:val="center"/>
            </w:pPr>
            <w:r/>
            <w:r>
              <w:rPr>
                <w:sz w:val="18"/>
              </w:rPr>
              <w:t>+0,083 (p ≈ 0,27)</w:t>
            </w:r>
          </w:p>
        </w:tc>
        <w:tc>
          <w:tcPr>
            <w:tcW w:type="dxa" w:w="1474"/>
          </w:tcPr>
          <w:p>
            <w:pPr>
              <w:spacing w:after="20" w:line="264" w:lineRule="auto"/>
              <w:jc w:val="center"/>
            </w:pPr>
            <w:r/>
            <w:r>
              <w:rPr>
                <w:sz w:val="18"/>
              </w:rPr>
              <w:t>+0,001 (p ≈ 0,98)</w:t>
            </w:r>
          </w:p>
        </w:tc>
        <w:tc>
          <w:tcPr>
            <w:tcW w:type="dxa" w:w="1474"/>
          </w:tcPr>
          <w:p>
            <w:pPr>
              <w:spacing w:after="20" w:line="264" w:lineRule="auto"/>
              <w:jc w:val="center"/>
            </w:pPr>
            <w:r/>
            <w:r>
              <w:rPr>
                <w:sz w:val="18"/>
              </w:rPr>
              <w:t>+0,060 (p ≈ 0,25)</w:t>
            </w:r>
          </w:p>
        </w:tc>
        <w:tc>
          <w:tcPr>
            <w:tcW w:type="dxa" w:w="1474"/>
          </w:tcPr>
          <w:p>
            <w:pPr>
              <w:spacing w:after="20" w:line="264" w:lineRule="auto"/>
              <w:jc w:val="center"/>
            </w:pPr>
            <w:r/>
            <w:r>
              <w:rPr>
                <w:sz w:val="18"/>
              </w:rPr>
              <w:t>-13,3 điểm % (p ≈ 0,43)</w:t>
            </w:r>
          </w:p>
        </w:tc>
        <w:tc>
          <w:tcPr>
            <w:tcW w:type="dxa" w:w="1361"/>
          </w:tcPr>
          <w:p>
            <w:pPr>
              <w:spacing w:after="20" w:line="264" w:lineRule="auto"/>
              <w:jc w:val="center"/>
            </w:pPr>
            <w:r/>
            <w:r>
              <w:rPr>
                <w:sz w:val="18"/>
              </w:rPr>
              <w:t>+0,0 điểm % (p ≈ 1,00)</w:t>
            </w:r>
          </w:p>
        </w:tc>
      </w:tr>
      <w:tr>
        <w:trPr>
          <w:cantSplit w:val="true"/>
        </w:trPr>
        <w:tc>
          <w:tcPr>
            <w:tcW w:type="dxa" w:w="1814"/>
            <w:shd w:val="clear" w:color="auto" w:fill="F0F5FC"/>
          </w:tcPr>
          <w:p>
            <w:pPr>
              <w:spacing w:after="20" w:line="264" w:lineRule="auto"/>
              <w:jc w:val="left"/>
            </w:pPr>
            <w:r>
              <w:rPr>
                <w:b/>
              </w:rPr>
            </w:r>
            <w:r>
              <w:rPr>
                <w:b/>
                <w:sz w:val="18"/>
              </w:rPr>
              <w:t>S20: KG20 − KG30 (n = 37)</w:t>
            </w:r>
          </w:p>
        </w:tc>
        <w:tc>
          <w:tcPr>
            <w:tcW w:type="dxa" w:w="1474"/>
            <w:shd w:val="clear" w:color="auto" w:fill="F0F5FC"/>
          </w:tcPr>
          <w:p>
            <w:pPr>
              <w:spacing w:after="20" w:line="264" w:lineRule="auto"/>
              <w:jc w:val="center"/>
            </w:pPr>
            <w:r/>
            <w:r>
              <w:rPr>
                <w:sz w:val="18"/>
              </w:rPr>
              <w:t>-0,020 (p ≈ 0,63)</w:t>
            </w:r>
          </w:p>
        </w:tc>
        <w:tc>
          <w:tcPr>
            <w:tcW w:type="dxa" w:w="1474"/>
            <w:shd w:val="clear" w:color="auto" w:fill="F0F5FC"/>
          </w:tcPr>
          <w:p>
            <w:pPr>
              <w:spacing w:after="20" w:line="264" w:lineRule="auto"/>
              <w:jc w:val="center"/>
            </w:pPr>
            <w:r/>
            <w:r>
              <w:rPr>
                <w:sz w:val="18"/>
              </w:rPr>
              <w:t>-0,007 (p ≈ 0,82)</w:t>
            </w:r>
          </w:p>
        </w:tc>
        <w:tc>
          <w:tcPr>
            <w:tcW w:type="dxa" w:w="1474"/>
            <w:shd w:val="clear" w:color="auto" w:fill="F0F5FC"/>
          </w:tcPr>
          <w:p>
            <w:pPr>
              <w:spacing w:after="20" w:line="264" w:lineRule="auto"/>
              <w:jc w:val="center"/>
            </w:pPr>
            <w:r/>
            <w:r>
              <w:rPr>
                <w:sz w:val="18"/>
              </w:rPr>
              <w:t>-0,003 (p ≈ 0,92)</w:t>
            </w:r>
          </w:p>
        </w:tc>
        <w:tc>
          <w:tcPr>
            <w:tcW w:type="dxa" w:w="1474"/>
            <w:shd w:val="clear" w:color="auto" w:fill="F0F5FC"/>
          </w:tcPr>
          <w:p>
            <w:pPr>
              <w:spacing w:after="20" w:line="264" w:lineRule="auto"/>
              <w:jc w:val="center"/>
            </w:pPr>
            <w:r/>
            <w:r>
              <w:rPr>
                <w:sz w:val="18"/>
              </w:rPr>
              <w:t>+0,0 điểm % (p ≈ 1,00)</w:t>
            </w:r>
          </w:p>
        </w:tc>
        <w:tc>
          <w:tcPr>
            <w:tcW w:type="dxa" w:w="1361"/>
            <w:shd w:val="clear" w:color="auto" w:fill="F0F5FC"/>
          </w:tcPr>
          <w:p>
            <w:pPr>
              <w:spacing w:after="20" w:line="264" w:lineRule="auto"/>
              <w:jc w:val="center"/>
            </w:pPr>
            <w:r/>
            <w:r>
              <w:rPr>
                <w:sz w:val="18"/>
              </w:rPr>
              <w:t>+2,7 điểm % (p ≈ 0,74)</w:t>
            </w:r>
          </w:p>
        </w:tc>
      </w:tr>
      <w:tr>
        <w:trPr>
          <w:cantSplit w:val="true"/>
        </w:trPr>
        <w:tc>
          <w:tcPr>
            <w:tcW w:type="dxa" w:w="1814"/>
          </w:tcPr>
          <w:p>
            <w:pPr>
              <w:spacing w:after="20" w:line="264" w:lineRule="auto"/>
              <w:jc w:val="left"/>
            </w:pPr>
            <w:r>
              <w:rPr>
                <w:b/>
              </w:rPr>
            </w:r>
            <w:r>
              <w:rPr>
                <w:b/>
                <w:sz w:val="18"/>
              </w:rPr>
              <w:t>62 câu: KG10 − KG30 (n = 62)</w:t>
            </w:r>
          </w:p>
        </w:tc>
        <w:tc>
          <w:tcPr>
            <w:tcW w:type="dxa" w:w="1474"/>
          </w:tcPr>
          <w:p>
            <w:pPr>
              <w:spacing w:after="20" w:line="264" w:lineRule="auto"/>
              <w:jc w:val="center"/>
            </w:pPr>
            <w:r/>
            <w:r>
              <w:rPr>
                <w:sz w:val="18"/>
              </w:rPr>
              <w:t>-0,036 (p ≈ 0,38)</w:t>
            </w:r>
          </w:p>
        </w:tc>
        <w:tc>
          <w:tcPr>
            <w:tcW w:type="dxa" w:w="1474"/>
          </w:tcPr>
          <w:p>
            <w:pPr>
              <w:spacing w:after="20" w:line="264" w:lineRule="auto"/>
              <w:jc w:val="center"/>
            </w:pPr>
            <w:r/>
            <w:r>
              <w:rPr>
                <w:b/>
                <w:sz w:val="18"/>
              </w:rPr>
              <w:t>-0,087</w:t>
            </w:r>
            <w:r>
              <w:rPr>
                <w:sz w:val="18"/>
              </w:rPr>
              <w:t xml:space="preserve"> (p ≈ 0,02)</w:t>
            </w:r>
          </w:p>
        </w:tc>
        <w:tc>
          <w:tcPr>
            <w:tcW w:type="dxa" w:w="1474"/>
          </w:tcPr>
          <w:p>
            <w:pPr>
              <w:spacing w:after="20" w:line="264" w:lineRule="auto"/>
              <w:jc w:val="center"/>
            </w:pPr>
            <w:r/>
            <w:r>
              <w:rPr>
                <w:b/>
                <w:sz w:val="18"/>
              </w:rPr>
              <w:t>-0,240</w:t>
            </w:r>
            <w:r>
              <w:rPr>
                <w:sz w:val="18"/>
              </w:rPr>
              <w:t xml:space="preserve"> (p &lt; 0,001)</w:t>
            </w:r>
          </w:p>
        </w:tc>
        <w:tc>
          <w:tcPr>
            <w:tcW w:type="dxa" w:w="1474"/>
          </w:tcPr>
          <w:p>
            <w:pPr>
              <w:spacing w:after="20" w:line="264" w:lineRule="auto"/>
              <w:jc w:val="center"/>
            </w:pPr>
            <w:r/>
            <w:r>
              <w:rPr>
                <w:sz w:val="18"/>
              </w:rPr>
              <w:t>-12,9 điểm % (p ≈ 0,11)</w:t>
            </w:r>
          </w:p>
        </w:tc>
        <w:tc>
          <w:tcPr>
            <w:tcW w:type="dxa" w:w="1361"/>
          </w:tcPr>
          <w:p>
            <w:pPr>
              <w:spacing w:after="20" w:line="264" w:lineRule="auto"/>
              <w:jc w:val="center"/>
            </w:pPr>
            <w:r/>
            <w:r>
              <w:rPr>
                <w:b/>
                <w:sz w:val="18"/>
              </w:rPr>
              <w:t>-27,4 điểm %</w:t>
            </w:r>
            <w:r>
              <w:rPr>
                <w:sz w:val="18"/>
              </w:rPr>
              <w:t xml:space="preserve"> (p &lt; 0,001)</w:t>
            </w:r>
          </w:p>
        </w:tc>
      </w:tr>
      <w:tr>
        <w:trPr>
          <w:cantSplit w:val="true"/>
        </w:trPr>
        <w:tc>
          <w:tcPr>
            <w:tcW w:type="dxa" w:w="1814"/>
            <w:shd w:val="clear" w:color="auto" w:fill="F0F5FC"/>
          </w:tcPr>
          <w:p>
            <w:pPr>
              <w:spacing w:after="20" w:line="264" w:lineRule="auto"/>
              <w:jc w:val="left"/>
            </w:pPr>
            <w:r>
              <w:rPr>
                <w:b/>
              </w:rPr>
            </w:r>
            <w:r>
              <w:rPr>
                <w:b/>
                <w:sz w:val="18"/>
              </w:rPr>
              <w:t>62 câu: KG20 − KG30 (n = 62)</w:t>
            </w:r>
          </w:p>
        </w:tc>
        <w:tc>
          <w:tcPr>
            <w:tcW w:type="dxa" w:w="1474"/>
            <w:shd w:val="clear" w:color="auto" w:fill="F0F5FC"/>
          </w:tcPr>
          <w:p>
            <w:pPr>
              <w:spacing w:after="20" w:line="264" w:lineRule="auto"/>
              <w:jc w:val="center"/>
            </w:pPr>
            <w:r/>
            <w:r>
              <w:rPr>
                <w:sz w:val="18"/>
              </w:rPr>
              <w:t>-0,028 (p ≈ 0,34)</w:t>
            </w:r>
          </w:p>
        </w:tc>
        <w:tc>
          <w:tcPr>
            <w:tcW w:type="dxa" w:w="1474"/>
            <w:shd w:val="clear" w:color="auto" w:fill="F0F5FC"/>
          </w:tcPr>
          <w:p>
            <w:pPr>
              <w:spacing w:after="20" w:line="264" w:lineRule="auto"/>
              <w:jc w:val="center"/>
            </w:pPr>
            <w:r/>
            <w:r>
              <w:rPr>
                <w:sz w:val="18"/>
              </w:rPr>
              <w:t>-0,032 (p ≈ 0,21)</w:t>
            </w:r>
          </w:p>
        </w:tc>
        <w:tc>
          <w:tcPr>
            <w:tcW w:type="dxa" w:w="1474"/>
            <w:shd w:val="clear" w:color="auto" w:fill="F0F5FC"/>
          </w:tcPr>
          <w:p>
            <w:pPr>
              <w:spacing w:after="20" w:line="264" w:lineRule="auto"/>
              <w:jc w:val="center"/>
            </w:pPr>
            <w:r/>
            <w:r>
              <w:rPr>
                <w:b/>
                <w:sz w:val="18"/>
              </w:rPr>
              <w:t>-0,109</w:t>
            </w:r>
            <w:r>
              <w:rPr>
                <w:sz w:val="18"/>
              </w:rPr>
              <w:t xml:space="preserve"> (p ≈ 0,007)</w:t>
            </w:r>
          </w:p>
        </w:tc>
        <w:tc>
          <w:tcPr>
            <w:tcW w:type="dxa" w:w="1474"/>
            <w:shd w:val="clear" w:color="auto" w:fill="F0F5FC"/>
          </w:tcPr>
          <w:p>
            <w:pPr>
              <w:spacing w:after="20" w:line="264" w:lineRule="auto"/>
              <w:jc w:val="center"/>
            </w:pPr>
            <w:r/>
            <w:r>
              <w:rPr>
                <w:sz w:val="18"/>
              </w:rPr>
              <w:t>+0,0 điểm % (p ≈ 1,00)</w:t>
            </w:r>
          </w:p>
        </w:tc>
        <w:tc>
          <w:tcPr>
            <w:tcW w:type="dxa" w:w="1361"/>
            <w:shd w:val="clear" w:color="auto" w:fill="F0F5FC"/>
          </w:tcPr>
          <w:p>
            <w:pPr>
              <w:spacing w:after="20" w:line="264" w:lineRule="auto"/>
              <w:jc w:val="center"/>
            </w:pPr>
            <w:r/>
            <w:r>
              <w:rPr>
                <w:sz w:val="18"/>
              </w:rPr>
              <w:t>-6,5 điểm % (p ≈ 0,19)</w:t>
            </w:r>
          </w:p>
        </w:tc>
      </w:tr>
    </w:tbl>
    <w:p>
      <w:pPr>
        <w:spacing w:after="40"/>
      </w:pPr>
    </w:p>
    <w:p>
      <w:pPr>
        <w:ind w:firstLine="567"/>
      </w:pPr>
      <w:r>
        <w:rPr>
          <w:b/>
        </w:rPr>
        <w:t>In-scope:</w:t>
      </w:r>
      <w:r>
        <w:t xml:space="preserve"> answer correctness 87% / 86% / 82%, retrieval precision 0,45 / 0,46 / 0,49, faithfulness 0,78 / 0,84 / 0,85 với KG10 / KG20 / KG30. Không thấy xu hướng rõ theo k: answer correctness của KG10 trên câu hỏi về 10 bài của nó không thấp hơn của KG30 trên câu hỏi về 30 bài (hai tập câu hỏi khác nhau nên đây chỉ là so sánh mô tả; paired comparison ở fixed set bên dưới). Tỉ lệ lấy được gold chunk giảm khi KG lớn hơn (57% / 49% / 39%) vì có thêm nhiều đoạn cạnh tranh cùng chứa các khái niệm trung tâm, nhưng retrieval precision và answer correctness không giảm theo.</w:t>
      </w:r>
    </w:p>
    <w:p>
      <w:pPr>
        <w:ind w:firstLine="567"/>
      </w:pPr>
      <w:r>
        <w:rPr>
          <w:b/>
        </w:rPr>
        <w:t>Fixed set (cùng câu hỏi):</w:t>
      </w:r>
      <w:r>
        <w:t xml:space="preserve"> không chênh lệch nào giữa các k có statistical significance. Trên cùng 15 câu về 10 bài đầu, answer correctness của KG10 / KG20 / KG30 là 87% / 87% / 80%; trên 37 câu về 20 bài đầu, KG20 và KG30 đạt 86% và 84%. Không phát hiện khác biệt có statistical significance giữa các k trên S10 và S20 (dù entity coverage và relation completeness trên S10 tăng nhẹ, mục 5.2). Tuy nhiên năng lực kiểm định thấp: S10 chỉ có 15 câu, CI 95% của chênh lệch answer correctness KG10 − KG30 là +6,7 điểm % [−13,3; +26,7], tức là dữ liệu vẫn phù hợp với chênh lệch cỡ 10–20 điểm % theo cả hai chiều; S20 (37 câu) hẹp hơn (KG20 − KG30: +2,7 điểm % [+0,0; +8,1]) nhưng vẫn chỉ là một tập nhỏ. Vì vậy kết quả này không chứng minh được thêm bài là vô ích, chỉ cho thấy không có chênh lệch lớn.</w:t>
      </w:r>
    </w:p>
    <w:p>
      <w:pPr>
        <w:ind w:firstLine="567"/>
      </w:pPr>
      <w:r>
        <w:rPr>
          <w:b/>
        </w:rPr>
        <w:t>Toàn bộ 62 câu:</w:t>
      </w:r>
      <w:r>
        <w:t xml:space="preserve"> Answer correctness tăng theo k: 55% → 76% → 82%. KG10 kém KG30 rõ rệt (answer correctness và answer relevancy thấp hơn có statistical significance; faithfulness cũng thấp hơn có statistical significance theo điểm gốc, nhưng kết luận này không vững trước judge audit ở mục 6.3), còn KG20 chỉ kém KG30 ở answer relevancy; answer correctness của KG20 thấp hơn KG30 khoảng 6 điểm % nhưng không có statistical significance. Phần lớn chênh lệch đến từ câu về bài chưa có trong KG, không phải từ chất lượng trả lời các câu in-scope.</w:t>
      </w:r>
    </w:p>
    <w:p>
      <w:pPr>
        <w:keepNext/>
        <w:jc w:val="center"/>
      </w:pPr>
      <w:r>
        <w:drawing>
          <wp:inline xmlns:a="http://schemas.openxmlformats.org/drawingml/2006/main" xmlns:pic="http://schemas.openxmlformats.org/drawingml/2006/picture">
            <wp:extent cx="5400000" cy="1747416"/>
            <wp:docPr id="4" name="Picture 4"/>
            <wp:cNvGraphicFramePr>
              <a:graphicFrameLocks noChangeAspect="1"/>
            </wp:cNvGraphicFramePr>
            <a:graphic>
              <a:graphicData uri="http://schemas.openxmlformats.org/drawingml/2006/picture">
                <pic:pic>
                  <pic:nvPicPr>
                    <pic:cNvPr id="0" name="y3_fig4_outcome.png"/>
                    <pic:cNvPicPr/>
                  </pic:nvPicPr>
                  <pic:blipFill>
                    <a:blip r:embed="rId13"/>
                    <a:stretch>
                      <a:fillRect/>
                    </a:stretch>
                  </pic:blipFill>
                  <pic:spPr>
                    <a:xfrm>
                      <a:off x="0" y="0"/>
                      <a:ext cx="5400000" cy="1747416"/>
                    </a:xfrm>
                    <a:prstGeom prst="rect"/>
                  </pic:spPr>
                </pic:pic>
              </a:graphicData>
            </a:graphic>
          </wp:inline>
        </w:drawing>
      </w:r>
    </w:p>
    <w:p>
      <w:pPr>
        <w:pStyle w:val="Caption"/>
        <w:jc w:val="center"/>
      </w:pPr>
      <w:r>
        <w:t>Hình 4. Kết cục của 62 câu có đáp án với mỗi KG</w:t>
      </w:r>
    </w:p>
    <w:p>
      <w:pPr>
        <w:ind w:firstLine="567"/>
      </w:pPr>
      <w:r>
        <w:t>Với câu out-of-scope, GraphRAG refuse 22/47 câu (KG10) và 10/25 câu (KG20), nhưng vẫn trả lời đúng 21/47 (45%) và 15/25 (60%) câu. Trong các câu "đúng" này, 10/21 (KG10) và 11/15 (KG20) là câu multi-hop có một trong hai bài nguồn đã có trong KG; phần còn lại là câu không có bài nguồn nào trong KG, mô hình trả lời bằng hiểu biết chung về chủ đề (thuật toán Shor, BB84...). 16/21 (KG10) và 14/15 (KG20) câu có faithfulness dưới 1, tức là câu trả lời chứa thông tin không có trong context: đó là kiến thức sẵn có của mô hình chứ không phải do KG cung cấp, nên không thể coi là KG nhỏ "đủ" cho các câu này.</w:t>
      </w:r>
    </w:p>
    <w:p>
      <w:pPr>
        <w:ind w:firstLine="567"/>
      </w:pPr>
      <w:r>
        <w:rPr>
          <w:b/>
        </w:rPr>
        <w:t>Câu out-of-corpus:</w:t>
      </w:r>
      <w:r>
        <w:t xml:space="preserve"> GraphRAG refuse đúng 100% / 100% / 100% trong 23 câu với KG10 / KG20 / KG30.</w:t>
      </w:r>
    </w:p>
    <w:p>
      <w:pPr>
        <w:pStyle w:val="Heading2"/>
      </w:pPr>
      <w:r>
        <w:t>6.2. Chất lượng KG và câu trả lời</w:t>
      </w:r>
    </w:p>
    <w:p>
      <w:pPr>
        <w:keepNext/>
        <w:jc w:val="center"/>
      </w:pPr>
      <w:r>
        <w:drawing>
          <wp:inline xmlns:a="http://schemas.openxmlformats.org/drawingml/2006/main" xmlns:pic="http://schemas.openxmlformats.org/drawingml/2006/picture">
            <wp:extent cx="5040000" cy="1926476"/>
            <wp:docPr id="5" name="Picture 5"/>
            <wp:cNvGraphicFramePr>
              <a:graphicFrameLocks noChangeAspect="1"/>
            </wp:cNvGraphicFramePr>
            <a:graphic>
              <a:graphicData uri="http://schemas.openxmlformats.org/drawingml/2006/picture">
                <pic:pic>
                  <pic:nvPicPr>
                    <pic:cNvPr id="0" name="y3_fig5_cov_answer.png"/>
                    <pic:cNvPicPr/>
                  </pic:nvPicPr>
                  <pic:blipFill>
                    <a:blip r:embed="rId14"/>
                    <a:stretch>
                      <a:fillRect/>
                    </a:stretch>
                  </pic:blipFill>
                  <pic:spPr>
                    <a:xfrm>
                      <a:off x="0" y="0"/>
                      <a:ext cx="5040000" cy="1926476"/>
                    </a:xfrm>
                    <a:prstGeom prst="rect"/>
                  </pic:spPr>
                </pic:pic>
              </a:graphicData>
            </a:graphic>
          </wp:inline>
        </w:drawing>
      </w:r>
    </w:p>
    <w:p>
      <w:pPr>
        <w:pStyle w:val="Caption"/>
        <w:jc w:val="center"/>
      </w:pPr>
      <w:r>
        <w:t>Hình 5. Answer correctness theo coverage entity (a) và relation (b) của câu hỏi</w:t>
      </w:r>
    </w:p>
    <w:p>
      <w:pPr>
        <w:ind w:firstLine="567"/>
      </w:pPr>
      <w:r>
        <w:t>Gộp các câu in-scope ở cả ba k: câu có đủ mọi gold entity trong KG được trả lời đúng 84% (n = 69), câu thiếu ít nhất một entity 84% (n = 45); câu có ≥ 50% gold relation trong KG 94% (n = 48), dưới 50% 77% (n = 65). Không thấy chênh lệch giữa câu thiếu entity và câu đủ entity, có thể vì GraphRAG còn khớp entity theo embedding và đưa passage vào context; còn câu có đủ relation trong KG có tỉ lệ đúng cao hơn khoảng 17 điểm % (CI chỉ chồng nhau rất ít, nhưng CI chồng nhau không phải phép kiểm định). Đây là so sánh mô tả (một câu được tính ở mỗi KG chứa nó, không độc lập), nhưng phù hợp với nhận xét ở mục 5.2: thiếu relation, không phải thiếu entity, là điểm yếu chính của KG.</w:t>
      </w:r>
    </w:p>
    <w:p>
      <w:pPr>
        <w:pStyle w:val="Heading2"/>
      </w:pPr>
      <w:r>
        <w:t>6.3. Judge audit: judge_failures, truncate và sensitivity analysis</w:t>
      </w:r>
    </w:p>
    <w:p>
      <w:pPr>
        <w:ind w:firstLine="567"/>
      </w:pPr>
      <w:r>
        <w:t>Kết quả với KG30 lấy từ nội dung 2, đã qua judge audit (nội dung 2, mục 8.4). Câu trả lời với KG10 và KG20 được re-judge bằng đúng hàm chấm với judge log (</w:t>
      </w:r>
      <w:r>
        <w:rPr>
          <w:rFonts w:ascii="Consolas" w:hAnsi="Consolas"/>
        </w:rPr>
        <w:t>judge_audit_kg_scale.py</w:t>
      </w:r>
      <w:r>
        <w:t>), tổng 931 judge call.</w:t>
      </w:r>
    </w:p>
    <w:p>
      <w:pPr>
        <w:pStyle w:val="ListBullet"/>
        <w:spacing w:after="60"/>
      </w:pPr>
      <w:r>
        <w:rPr>
          <w:b/>
        </w:rPr>
        <w:t xml:space="preserve">Truncate: </w:t>
      </w:r>
      <w:r>
        <w:t>không có prompt nào bị truncate (dài nhất 2.247 token, num_ctx = 4.096).</w:t>
      </w:r>
    </w:p>
    <w:p>
      <w:pPr>
        <w:pStyle w:val="ListBullet"/>
        <w:spacing w:after="60"/>
      </w:pPr>
      <w:r>
        <w:rPr>
          <w:b/>
        </w:rPr>
        <w:t xml:space="preserve">judge_failures: </w:t>
      </w:r>
      <w:r>
        <w:t>23 judge call, đều là ollama_error (Ollama huỷ lần sinh vì lặp token), tổng 244 verdict bị tính là "không". Phần lớn ở bước chấm relation của KG (kg_relation_precision, secondary metric); 4 lần ở bước chấm passage (retrieval precision: q006 KG10, g005 KG10, q006 KG20, g040 KG20).</w:t>
      </w:r>
    </w:p>
    <w:p>
      <w:pPr>
        <w:pStyle w:val="ListBullet"/>
        <w:spacing w:after="60"/>
      </w:pPr>
      <w:r>
        <w:rPr>
          <w:b/>
        </w:rPr>
        <w:t xml:space="preserve">Reproducibility: </w:t>
      </w:r>
      <w:r>
        <w:t>khác nội dung 2, re-judge KHÔNG cho điểm giống hệt bản gốc (câu trả lời giữ nguyên): faithfulness trùng ở 69% (KG10) và 85% (KG20) số câu, retrieval precision 89% / 87%, còn hallucination và answer correctness gần như trùng (Cohen's κ 0,91–1,00). Faithfulness của KG10 khi re-judge cao hơn (0,771 so với 0,724). Phần lớn chênh lệch không do judge failure: chỉ 2/12 (KG10) và 2/7 (KG20) câu khác điểm faithfulness có judge failure khi re-judge, và ngay bước đầu judge đã tách ra danh sách claim khác nhau ở 19/39 (KG10) và 13/48 (KG20) câu. Tức là judge không tất định giữa các lần chạy dù cùng temperature 0, seed, Ollama 0.35.1 và digest model (ở nội dung 2 lại tái lập y hệt). Nguyên nhân chưa xác định được; một khả năng là Ollama chia model giữa GPU và CPU khác nhau tuỳ VRAM còn trống ở mỗi lần chạy, làm sai khác số học nhỏ đổi được đầu ra.</w:t>
      </w:r>
    </w:p>
    <w:p>
      <w:pPr>
        <w:ind w:firstLine="567"/>
      </w:pPr>
      <w:r>
        <w:t xml:space="preserve">Sensitivity analysis: mỗi paired difference của mục 6.1 được tính lại theo hai cách, (i) điểm gốc nhưng bỏ các câu có judge failure ở một trong hai KG được so, (ii) điểm re-judge trên đủ câu. </w:t>
      </w:r>
      <w:r>
        <w:rPr>
          <w:b/>
        </w:rPr>
        <w:t>Vững</w:t>
      </w:r>
      <w:r>
        <w:t xml:space="preserve"> (có statistical significance theo cả ba cách): answer relevancy KG10 − KG30 (62 câu: −0,240 [−0,346; −0,134]); answer correctness KG10 − KG30 (62 câu: −0,274 [−0,403; −0,145]); answer relevancy KG20 − KG30 (62 câu: −0,109 [−0,193; −0,034]). </w:t>
      </w:r>
      <w:r>
        <w:rPr>
          <w:b/>
        </w:rPr>
        <w:t>Không vững</w:t>
      </w:r>
      <w:r>
        <w:t>: faithfulness KG10 − KG30 (62 câu: −0,087 [−0,163; −0,013]), re-judge: −0,038 [−0,115; +0,037]. Vì vậy kết luận "KG10 có faithfulness thấp hơn KG30" không được dùng; các kết luận chính của nội dung 3 dựa trên answer correctness, không bị ảnh hưởng. Ngược lại, theo điểm re-judge có thêm faithfulness KG10 − KG20 (S10: +0,067 [+0,010; +0,133]) có statistical significance, cũng là dấu hiệu faithfulness ở đây nhạy với nhiễu của judge.</w:t>
      </w:r>
    </w:p>
    <w:p>
      <w:pPr>
        <w:pStyle w:val="Heading1"/>
      </w:pPr>
      <w:r>
        <w:t>7. THẢO LUẬN: K BÀI CÓ ĐỦ KHÔNG?</w:t>
      </w:r>
    </w:p>
    <w:p>
      <w:pPr>
        <w:ind w:firstLine="567"/>
      </w:pPr>
      <w:r>
        <w:rPr>
          <w:b/>
        </w:rPr>
        <w:t>Với câu hỏi về chính các bài trong KG, không phát hiện khác biệt giữa k = 10, 20, 30 (năng lực kiểm định thấp).</w:t>
      </w:r>
      <w:r>
        <w:t xml:space="preserve"> Entity coverage in-scope giữ khoảng 91% ở cả ba k, và không phát hiện câu trả lời về 10 bài đầu tốt hơn khi KG có thêm 10 hay 20 bài khác; với 15 câu, chỉ chênh lệch lớn (khoảng 20 điểm % trở lên) mới phát hiện được. Kết quả này phù hợp với phần thử nghiệm theo cỡ corpus của GraphRAG-Bench [3]: khi corpus tăng từ khoảng 56 nghìn lên 1,13 triệu token, độ chính xác của GraphRAG (HippoRAG2) ở câu hỏi tra cứu sự kiện gần như không đổi (60,14%, 59,99%, 59,19%). Corpus của nội dung 3 (khoảng 0,2 đến 0,6 triệu token) nằm trong khoảng đó; khác biệt là [3] dùng HippoRAG2 còn ở đây là local search tự cài đặt, nên chỉ so được xu hướng.</w:t>
      </w:r>
    </w:p>
    <w:p>
      <w:pPr>
        <w:ind w:firstLine="567"/>
      </w:pPr>
      <w:r>
        <w:rPr>
          <w:b/>
        </w:rPr>
        <w:t>Điểm nghẽn là bước trích xuất, không phải số bài.</w:t>
      </w:r>
      <w:r>
        <w:t xml:space="preserve"> Relation completeness chỉ khoảng 40% ở mọi k (khoảng 33–37% sau hiệu chỉnh theo audit). Các nghiên cứu khác cũng thấy KG do LLM trích ra thiếu nhiều thông tin: trên benchmark MINE [4], KG do Microsoft GraphRAG trích chỉ giữ được 47,8% số sự kiện của văn bản (KGGen 66,1%, OpenIE 29,8%), và các tác giả nêu đúng hai vấn đề gặp ở đây là đồ thị thưa và entity trùng lặp; Han và cộng sự [2] thấy chỉ khoảng 65,8% (HotpotQA) và 65,5% (NQ) entity của đáp án có trong KG, đồng thời đổi mô hình dựng KG từ GPT-4o-mini sang GPT-4o làm độ chính xác QA tăng từ 71,17% lên 75,08%. Zhu và cộng sự [5] kết luận LLM "phù hợp làm trợ lý suy luận hơn là bộ trích xuất thông tin few-shot". Entity coverage ở đây (khoảng 90%) cao hơn con số 65% của [2] nhưng không so trực tiếp được: gold set ở đây là các thuật ngữ kỹ thuật trung tâm của câu hỏi, lặp lại nhiều trong các bài cùng chủ đề, còn [2] đo entity của đáp án trên dữ liệu mở. Mật độ đồ thị cũng tương tự [3]: average degree của MS-GraphRAG là 1,48 và 1,82, ở đây 2,0 đến 2,2, trong khi [3] cho thấy đồ thị dày hơn (HippoRAG2, 8,75 và 13,31) truy xuất tốt hơn.</w:t>
      </w:r>
    </w:p>
    <w:p>
      <w:pPr>
        <w:ind w:firstLine="567"/>
      </w:pPr>
      <w:r>
        <w:rPr>
          <w:b/>
        </w:rPr>
        <w:t>Với câu hỏi về cả chủ đề, KG chỉ trả lời tốt những gì nó chứa, và 30 bài vẫn chưa đạt saturation.</w:t>
      </w:r>
      <w:r>
        <w:t xml:space="preserve"> Mỗi bài thêm vào vẫn mang theo khoảng 250 entity mới (bài 21–30, so với 301 ở bài 2–10). Số entity tăng gần tuyến tính theo số bài (số mũ ước lượng khoảng 0,95 trên 20 thứ tự bài ngẫu nhiên), đúng với giai đoạn đầu của định luật Heaps [7, 8]: số từ (ở đây là entity) khác nhau tiếp tục tăng khi corpus lớn lên, chỉ chậm dần chứ không dừng. Vì vậy "k bài có đủ không" phụ thuộc vào phạm vi câu hỏi: trên toàn bộ câu hỏi của 30 bài, KG10 kém KG30 có statistical significance (−27,4 điểm % [−40,3; −14,5]), còn với KG20 thì không đủ bằng chứng để phân biệt với KG30 (−6,5 điểm % [−16,1; +1,6]; CI vẫn chứa mức kém tới khoảng 16 điểm %).</w:t>
      </w:r>
    </w:p>
    <w:p>
      <w:pPr>
        <w:ind w:firstLine="567"/>
      </w:pPr>
      <w:r>
        <w:rPr>
          <w:b/>
        </w:rPr>
        <w:t>Mô hình vẫn trả lời khi KG thiếu thông tin.</w:t>
      </w:r>
      <w:r>
        <w:t xml:space="preserve"> Câu out-of-scope được trả lời đúng 45% (KG10) và 60% (KG20), chủ yếu nhờ kiến thức sẵn có của mô hình. Joren và cộng sự [6] báo cáo hiện tượng tương tự ở các LLM lớn: khi context không đủ, mô hình vẫn trả lời đúng 35–62% số câu, trong đó có loại câu multi-hop chỉ có một phần thông tin trong context. Tỉ lệ ở đây nằm trong khoảng đó. Ngược lại, cả ba KG đều refuse đúng toàn bộ câu out-of-corpus: khi câu hỏi hoàn toàn khác chủ đề, prompt refuse hoạt động tốt; khi câu hỏi cùng chủ đề nhưng KG thiếu bài nguồn, mô hình dễ trả lời bằng kiến thức riêng. Điều này cần lưu ý khi dùng KG nhỏ: answer correctness có thể che khuất việc KG không chứa câu trả lời.</w:t>
      </w:r>
    </w:p>
    <w:p>
      <w:pPr>
        <w:pStyle w:val="ListBullet"/>
        <w:spacing w:after="60"/>
      </w:pPr>
      <w:r>
        <w:rPr>
          <w:b/>
        </w:rPr>
        <w:t xml:space="preserve">Bộ câu hỏi: </w:t>
      </w:r>
      <w:r>
        <w:t>dùng lại 85 câu của nội dung 2; fixed set S10 chỉ có 15 câu nên chỉ phát hiện được chênh lệch lớn. Chưa có câu hỏi tổng quát (tóm tắt nhiều bài), là loại câu mà KG lớn có thể có lợi hơn.</w:t>
      </w:r>
    </w:p>
    <w:p>
      <w:pPr>
        <w:pStyle w:val="ListBullet"/>
        <w:spacing w:after="60"/>
      </w:pPr>
      <w:r>
        <w:rPr>
          <w:b/>
        </w:rPr>
        <w:t xml:space="preserve">Thứ tự bài: </w:t>
      </w:r>
      <w:r>
        <w:t>ba KG dùng một thứ tự bài cố định (stratified theo chủ đề); đường cong tăng trưởng có kiểm tra trên 20 thứ tự ngẫu nhiên nhưng chất lượng câu trả lời chỉ đo với một thứ tự.</w:t>
      </w:r>
    </w:p>
    <w:p>
      <w:pPr>
        <w:pStyle w:val="ListBullet"/>
        <w:spacing w:after="60"/>
      </w:pPr>
      <w:r>
        <w:rPr>
          <w:b/>
        </w:rPr>
        <w:t xml:space="preserve">Gold set và cách khớp: </w:t>
      </w:r>
      <w:r>
        <w:t>gold set chỉ gồm entity / relation mà câu hỏi cần, không phải toàn bộ kiến thức trong 30 bài; khớp theo tên chuẩn hoá có thể bỏ sót biến thể (bản lenient cho upper bound). Phép khớp relation được kiểm tra tay trên 40 edge (36 đúng).</w:t>
      </w:r>
    </w:p>
    <w:p>
      <w:pPr>
        <w:pStyle w:val="ListBullet"/>
        <w:spacing w:after="60"/>
      </w:pPr>
      <w:r>
        <w:rPr>
          <w:b/>
        </w:rPr>
        <w:t xml:space="preserve">KG30: </w:t>
      </w:r>
      <w:r>
        <w:t>kết quả câu trả lời với KG30 lấy lại từ nội dung 2 (cùng mã, KG, câu hỏi và môi trường), không chạy lại cùng đợt với KG10, KG20.</w:t>
      </w:r>
    </w:p>
    <w:p>
      <w:pPr>
        <w:pStyle w:val="ListBullet"/>
        <w:spacing w:after="60"/>
      </w:pPr>
      <w:r>
        <w:rPr>
          <w:b/>
        </w:rPr>
        <w:t xml:space="preserve">Không so với Vector RAG theo k: </w:t>
      </w:r>
      <w:r>
        <w:t>GraphRAG-Bench [3] thấy vector RAG giảm khi corpus lớn lên; nội dung 3 chỉ đo GraphRAG nên chưa kiểm tra được điều này trên dữ liệu ở đây.</w:t>
      </w:r>
    </w:p>
    <w:p>
      <w:pPr>
        <w:pStyle w:val="Heading1"/>
      </w:pPr>
      <w:r>
        <w:t>8. KẾT LUẬN</w:t>
      </w:r>
    </w:p>
    <w:p>
      <w:pPr>
        <w:ind w:firstLine="567"/>
      </w:pPr>
      <w:r>
        <w:t>Với KG dựng bằng qwen2.5:7b, KG từ 10 bài đã chứa khoảng 91% entity cần cho câu hỏi về chính 10 bài đó; trên fixed set S10 / S20 không phát hiện khác biệt về câu trả lời giữa các k, nhưng năng lực kiểm định thấp (S10 chỉ 15 câu, CI của chênh lệch answer correctness KG10 − KG30 là +6,7 điểm % [−13,3; +26,7]), nên chỉ loại trừ được các chênh lệch lớn. Điểm yếu chung của cả ba KG là relation: chỉ khoảng 40% relation cần thiết có edge trong KG (sau hiệu chỉnh theo audit, KG30: 37%, CI 95% 31–44%), do giới hạn của mô hình trích xuất 7B chứ không do số bài. KG chưa đạt saturation ở 30 bài (mỗi bài vẫn thêm khoảng 250 entity mới), nên KG chỉ trả lời tốt phạm vi tài liệu nó chứa: trên toàn bộ câu hỏi của 30 bài, answer correctness là 55% / 76% / 82% với k = 10 / 20 / 30; KG10 kém KG30 có statistical significance, còn KG20 và KG30 thì không đủ bằng chứng để phân biệt. Trả lời câu hỏi của đề tài (với cài đặt local search và KG dựng bằng mô hình 7B): với câu hỏi về chính các bài trong KG, không phát hiện khác biệt trên S10 / S20; năng lực kiểm định thấp, nên chỉ loại trừ được chênh lệch lớn. Muốn hỏi về cả chủ đề thì KG phải chứa các bài liên quan (ở đây khoảng 20–30 bài), và muốn KG tốt hơn thì cần mô hình trích xuất relation tốt hơn trước khi cần thêm bài.</w:t>
      </w:r>
    </w:p>
    <w:p>
      <w:pPr>
        <w:pStyle w:val="Heading1"/>
      </w:pPr>
      <w:r>
        <w:t>TÀI LIỆU THAM KHẢO</w:t>
      </w:r>
    </w:p>
    <w:p>
      <w:r>
        <w:rPr>
          <w:sz w:val="24"/>
        </w:rPr>
        <w:t>[1] D. Edge et al., "From Local to Global: A Graph RAG Approach to Query-Focused Summarization", arXiv:2404.16130, 2024.</w:t>
      </w:r>
    </w:p>
    <w:p>
      <w:r>
        <w:rPr>
          <w:sz w:val="24"/>
        </w:rPr>
        <w:t>[2] H. Han et al., "RAG vs. GraphRAG: A Systematic Evaluation and Key Insights", arXiv:2502.11371, 2025.</w:t>
      </w:r>
    </w:p>
    <w:p>
      <w:r>
        <w:rPr>
          <w:sz w:val="24"/>
        </w:rPr>
        <w:t>[3] "When to use Graphs in RAG: A Comprehensive Analysis for Graph Retrieval-Augmented Generation" (GraphRAG-Bench), arXiv:2506.05690, ICLR 2026 (phụ lục G.5: thử nghiệm theo cỡ corpus).</w:t>
      </w:r>
    </w:p>
    <w:p>
      <w:r>
        <w:rPr>
          <w:sz w:val="24"/>
        </w:rPr>
        <w:t>[4] B. Mo, K. Yu, J. Kazdan, J. Cabezas, P. Mpala, L. Yu, C. Cundy, C. Kanatsoulis, S. Koyejo, "KGGen: Extracting Knowledge Graphs from Plain Text with Language Models", arXiv:2502.09956, 2025.</w:t>
      </w:r>
    </w:p>
    <w:p>
      <w:r>
        <w:rPr>
          <w:sz w:val="24"/>
        </w:rPr>
        <w:t>[5] Y. Zhu et al., "LLMs for Knowledge Graph Construction and Reasoning: Recent Capabilities and Future Opportunities", World Wide Web Journal, 2024 (arXiv:2305.13168).</w:t>
      </w:r>
    </w:p>
    <w:p>
      <w:r>
        <w:rPr>
          <w:sz w:val="24"/>
        </w:rPr>
        <w:t>[6] H. Joren, J. Zhang, C.-S. Ferng, D.-C. Juan, A. Taly, C. Rashtchian, "Sufficient Context: A New Lens on Retrieval Augmented Generation Systems", ICLR 2025 (arXiv:2411.06037).</w:t>
      </w:r>
    </w:p>
    <w:p>
      <w:r>
        <w:rPr>
          <w:sz w:val="24"/>
        </w:rPr>
        <w:t>[7] H. S. Heaps, Information Retrieval: Computational and Theoretical Aspects, Academic Press, 1978.</w:t>
      </w:r>
    </w:p>
    <w:p>
      <w:r>
        <w:rPr>
          <w:sz w:val="24"/>
        </w:rPr>
        <w:t>[8] L. Lü, Z.-K. Zhang, T. Zhou, "Zipf's Law Leads to Heaps' Law: Analyzing Their Relation in Finite-Size Systems", PLOS ONE 5(12): e14139, 2010.</w:t>
      </w:r>
    </w:p>
    <w:sectPr w:rsidR="00FC693F" w:rsidRPr="0006063C" w:rsidSect="00034616">
      <w:footerReference w:type="default" r:id="rId9"/>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2"/>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compatibilityMode" w:uri="http://schemas.microsoft.com/office/word" w:val="15"/>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vi-VN" w:eastAsia="vi-VN"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jc w:val="both"/>
    </w:pPr>
    <w:rPr>
      <w:rFonts w:ascii="Times New Roman" w:hAnsi="Times New Roman" w:eastAsia="Times New Roman" w:cs="Times New Roman"/>
      <w:sz w:val="26"/>
      <w:lang w:val="vi-VN" w:eastAsia="vi-VN"/>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vi-VN" w:eastAsia="vi-VN"/>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vi-VN" w:eastAsia="vi-VN"/>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jc w:val="left"/>
      <w:outlineLvl w:val="0"/>
    </w:pPr>
    <w:rPr>
      <w:rFonts w:ascii="Times New Roman" w:hAnsi="Times New Roman" w:eastAsia="Times New Roman" w:cs="Times New Roman"/>
      <w:b/>
      <w:bCs/>
      <w:i w:val="0"/>
      <w:color w:val="1C5CAB"/>
      <w:sz w:val="30"/>
      <w:szCs w:val="28"/>
      <w:lang w:val="vi-VN" w:eastAsia="vi-VN"/>
    </w:rPr>
  </w:style>
  <w:style w:type="paragraph" w:styleId="Heading2">
    <w:name w:val="heading 2"/>
    <w:basedOn w:val="Normal"/>
    <w:next w:val="Normal"/>
    <w:link w:val="Heading2Char"/>
    <w:uiPriority w:val="9"/>
    <w:unhideWhenUsed/>
    <w:qFormat/>
    <w:rsid w:val="00FC693F"/>
    <w:pPr>
      <w:keepNext/>
      <w:keepLines/>
      <w:spacing w:before="200" w:after="120"/>
      <w:jc w:val="left"/>
      <w:outlineLvl w:val="1"/>
    </w:pPr>
    <w:rPr>
      <w:rFonts w:ascii="Times New Roman" w:hAnsi="Times New Roman" w:eastAsia="Times New Roman" w:cs="Times New Roman"/>
      <w:b/>
      <w:bCs/>
      <w:i w:val="0"/>
      <w:color w:val="1C5CAB"/>
      <w:sz w:val="27"/>
      <w:szCs w:val="26"/>
      <w:lang w:val="vi-VN" w:eastAsia="vi-VN"/>
    </w:rPr>
  </w:style>
  <w:style w:type="paragraph" w:styleId="Heading3">
    <w:name w:val="heading 3"/>
    <w:basedOn w:val="Normal"/>
    <w:next w:val="Normal"/>
    <w:link w:val="Heading3Char"/>
    <w:uiPriority w:val="9"/>
    <w:unhideWhenUsed/>
    <w:qFormat/>
    <w:rsid w:val="00FC693F"/>
    <w:pPr>
      <w:keepNext/>
      <w:keepLines/>
      <w:spacing w:before="200" w:after="120"/>
      <w:jc w:val="left"/>
      <w:outlineLvl w:val="2"/>
    </w:pPr>
    <w:rPr>
      <w:rFonts w:ascii="Times New Roman" w:hAnsi="Times New Roman" w:eastAsia="Times New Roman" w:cs="Times New Roman"/>
      <w:b/>
      <w:bCs/>
      <w:i/>
      <w:color w:val="1C5CAB"/>
      <w:sz w:val="26"/>
      <w:lang w:val="vi-VN" w:eastAsia="vi-VN"/>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lang w:val="vi-VN" w:eastAsia="vi-VN"/>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vi-VN" w:eastAsia="vi-VN"/>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vi-VN" w:eastAsia="vi-VN"/>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vi-VN" w:eastAsia="vi-VN"/>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vi-VN" w:eastAsia="vi-VN"/>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lang w:val="vi-VN" w:eastAsia="vi-VN"/>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lang w:val="vi-VN" w:eastAsia="vi-VN"/>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vi-VN" w:eastAsia="vi-VN"/>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lang w:val="vi-VN" w:eastAsia="vi-VN"/>
    </w:rPr>
  </w:style>
  <w:style w:type="paragraph" w:styleId="BodyText">
    <w:name w:val="Body Text"/>
    <w:basedOn w:val="Normal"/>
    <w:link w:val="BodyTextChar"/>
    <w:uiPriority w:val="99"/>
    <w:unhideWhenUsed/>
    <w:rsid w:val="00AA1D8D"/>
    <w:pPr>
      <w:spacing w:after="120"/>
    </w:pPr>
    <w:rPr>
      <w:lang w:val="vi-VN" w:eastAsia="vi-VN"/>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lang w:val="vi-VN" w:eastAsia="vi-VN"/>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lang w:val="vi-VN" w:eastAsia="vi-VN"/>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lang w:val="vi-VN" w:eastAsia="vi-VN"/>
    </w:rPr>
  </w:style>
  <w:style w:type="paragraph" w:styleId="List2">
    <w:name w:val="List 2"/>
    <w:basedOn w:val="Normal"/>
    <w:uiPriority w:val="99"/>
    <w:unhideWhenUsed/>
    <w:rsid w:val="00326F90"/>
    <w:pPr>
      <w:ind w:left="720" w:hanging="360"/>
      <w:contextualSpacing/>
    </w:pPr>
    <w:rPr>
      <w:lang w:val="vi-VN" w:eastAsia="vi-VN"/>
    </w:rPr>
  </w:style>
  <w:style w:type="paragraph" w:styleId="List3">
    <w:name w:val="List 3"/>
    <w:basedOn w:val="Normal"/>
    <w:uiPriority w:val="99"/>
    <w:unhideWhenUsed/>
    <w:rsid w:val="00326F90"/>
    <w:pPr>
      <w:ind w:left="1080" w:hanging="360"/>
      <w:contextualSpacing/>
    </w:pPr>
    <w:rPr>
      <w:lang w:val="vi-VN" w:eastAsia="vi-VN"/>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sz w:val="26"/>
      <w:lang w:val="vi-VN" w:eastAsia="vi-VN"/>
    </w:rPr>
  </w:style>
  <w:style w:type="paragraph" w:styleId="ListBullet2">
    <w:name w:val="List Bullet 2"/>
    <w:basedOn w:val="Normal"/>
    <w:uiPriority w:val="99"/>
    <w:unhideWhenUsed/>
    <w:rsid w:val="00326F90"/>
    <w:pPr>
      <w:numPr>
        <w:numId w:val="2"/>
      </w:numPr>
      <w:contextualSpacing/>
    </w:pPr>
    <w:rPr>
      <w:lang w:val="vi-VN" w:eastAsia="vi-VN"/>
    </w:rPr>
  </w:style>
  <w:style w:type="paragraph" w:styleId="ListBullet3">
    <w:name w:val="List Bullet 3"/>
    <w:basedOn w:val="Normal"/>
    <w:uiPriority w:val="99"/>
    <w:unhideWhenUsed/>
    <w:rsid w:val="00326F90"/>
    <w:pPr>
      <w:numPr>
        <w:numId w:val="3"/>
      </w:numPr>
      <w:contextualSpacing/>
    </w:pPr>
    <w:rPr>
      <w:lang w:val="vi-VN" w:eastAsia="vi-VN"/>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sz w:val="26"/>
      <w:lang w:val="vi-VN" w:eastAsia="vi-VN"/>
    </w:rPr>
  </w:style>
  <w:style w:type="paragraph" w:styleId="ListNumber2">
    <w:name w:val="List Number 2"/>
    <w:basedOn w:val="Normal"/>
    <w:uiPriority w:val="99"/>
    <w:unhideWhenUsed/>
    <w:rsid w:val="0029639D"/>
    <w:pPr>
      <w:numPr>
        <w:numId w:val="6"/>
      </w:numPr>
      <w:contextualSpacing/>
    </w:pPr>
    <w:rPr>
      <w:lang w:val="vi-VN" w:eastAsia="vi-VN"/>
    </w:rPr>
  </w:style>
  <w:style w:type="paragraph" w:styleId="ListNumber3">
    <w:name w:val="List Number 3"/>
    <w:basedOn w:val="Normal"/>
    <w:uiPriority w:val="99"/>
    <w:unhideWhenUsed/>
    <w:rsid w:val="0029639D"/>
    <w:pPr>
      <w:numPr>
        <w:numId w:val="7"/>
      </w:numPr>
      <w:contextualSpacing/>
    </w:pPr>
    <w:rPr>
      <w:lang w:val="vi-VN" w:eastAsia="vi-VN"/>
    </w:rPr>
  </w:style>
  <w:style w:type="paragraph" w:styleId="ListContinue">
    <w:name w:val="List Continue"/>
    <w:basedOn w:val="Normal"/>
    <w:uiPriority w:val="99"/>
    <w:unhideWhenUsed/>
    <w:rsid w:val="0029639D"/>
    <w:pPr>
      <w:spacing w:after="120"/>
      <w:ind w:left="360"/>
      <w:contextualSpacing/>
    </w:pPr>
    <w:rPr>
      <w:lang w:val="vi-VN" w:eastAsia="vi-VN"/>
    </w:rPr>
  </w:style>
  <w:style w:type="paragraph" w:styleId="ListContinue2">
    <w:name w:val="List Continue 2"/>
    <w:basedOn w:val="Normal"/>
    <w:uiPriority w:val="99"/>
    <w:unhideWhenUsed/>
    <w:rsid w:val="0029639D"/>
    <w:pPr>
      <w:spacing w:after="120"/>
      <w:ind w:left="720"/>
      <w:contextualSpacing/>
    </w:pPr>
    <w:rPr>
      <w:lang w:val="vi-VN" w:eastAsia="vi-VN"/>
    </w:rPr>
  </w:style>
  <w:style w:type="paragraph" w:styleId="ListContinue3">
    <w:name w:val="List Continue 3"/>
    <w:basedOn w:val="Normal"/>
    <w:uiPriority w:val="99"/>
    <w:unhideWhenUsed/>
    <w:rsid w:val="0029639D"/>
    <w:pPr>
      <w:spacing w:after="120"/>
      <w:ind w:left="1080"/>
      <w:contextualSpacing/>
    </w:pPr>
    <w:rPr>
      <w:lang w:val="vi-VN" w:eastAsia="vi-VN"/>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vi-VN" w:eastAsia="vi-VN"/>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lang w:val="vi-VN" w:eastAsia="vi-VN"/>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val="0"/>
      <w:bCs/>
      <w:i/>
      <w:color w:val="52514E"/>
      <w:sz w:val="23"/>
      <w:szCs w:val="18"/>
      <w:lang w:val="vi-VN" w:eastAsia="vi-VN"/>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vi-VN" w:eastAsia="vi-VN"/>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lang w:val="vi-VN" w:eastAsia="vi-VN"/>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